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2173D0" w:rsidRPr="00EE260D" w:rsidRDefault="002173D0">
      <w:bookmarkStart w:id="0" w:name="_GoBack"/>
      <w:bookmarkEnd w:id="0"/>
    </w:p>
    <w:tbl>
      <w:tblPr>
        <w:tblW w:w="9180" w:type="dxa"/>
        <w:tblBorders>
          <w:bottom w:val="single" w:sz="6" w:space="0" w:color="000000"/>
          <w:insideH w:val="single" w:sz="6" w:space="0" w:color="000000"/>
        </w:tblBorders>
        <w:tblCellMar>
          <w:left w:w="122" w:type="dxa"/>
          <w:right w:w="107" w:type="dxa"/>
        </w:tblCellMar>
        <w:tblLook w:val="0000" w:firstRow="0" w:lastRow="0" w:firstColumn="0" w:lastColumn="0" w:noHBand="0" w:noVBand="0"/>
      </w:tblPr>
      <w:tblGrid>
        <w:gridCol w:w="2518"/>
        <w:gridCol w:w="2444"/>
        <w:gridCol w:w="1667"/>
        <w:gridCol w:w="2551"/>
      </w:tblGrid>
      <w:tr w:rsidR="002173D0" w14:paraId="0A37501D" w14:textId="77777777" w:rsidTr="00432A9C">
        <w:trPr>
          <w:cantSplit/>
        </w:trPr>
        <w:tc>
          <w:tcPr>
            <w:tcW w:w="9180" w:type="dxa"/>
            <w:gridSpan w:val="4"/>
            <w:tcBorders>
              <w:bottom w:val="single" w:sz="6" w:space="0" w:color="000000"/>
            </w:tcBorders>
            <w:shd w:val="clear" w:color="auto" w:fill="auto"/>
          </w:tcPr>
          <w:p w14:paraId="5DAB6C7B" w14:textId="77777777" w:rsidR="002173D0" w:rsidRDefault="00FC104E">
            <w:r>
              <w:rPr>
                <w:noProof/>
              </w:rPr>
              <w:drawing>
                <wp:inline distT="0" distB="0" distL="0" distR="0" wp14:anchorId="46B4B080" wp14:editId="07777777">
                  <wp:extent cx="821690" cy="66929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a:picLocks noChangeAspect="1" noChangeArrowheads="1"/>
                          </pic:cNvPicPr>
                        </pic:nvPicPr>
                        <pic:blipFill>
                          <a:blip r:embed="rId11"/>
                          <a:stretch>
                            <a:fillRect/>
                          </a:stretch>
                        </pic:blipFill>
                        <pic:spPr bwMode="auto">
                          <a:xfrm>
                            <a:off x="0" y="0"/>
                            <a:ext cx="821690" cy="669290"/>
                          </a:xfrm>
                          <a:prstGeom prst="rect">
                            <a:avLst/>
                          </a:prstGeom>
                        </pic:spPr>
                      </pic:pic>
                    </a:graphicData>
                  </a:graphic>
                </wp:inline>
              </w:drawing>
            </w:r>
          </w:p>
          <w:p w14:paraId="02EB378F" w14:textId="77777777" w:rsidR="002173D0" w:rsidRDefault="002173D0">
            <w:pPr>
              <w:pStyle w:val="Topptekst"/>
              <w:rPr>
                <w:b/>
                <w:sz w:val="24"/>
              </w:rPr>
            </w:pPr>
          </w:p>
        </w:tc>
      </w:tr>
      <w:tr w:rsidR="002173D0" w14:paraId="371E3714" w14:textId="77777777" w:rsidTr="00432A9C">
        <w:trPr>
          <w:trHeight w:val="612"/>
        </w:trPr>
        <w:tc>
          <w:tcPr>
            <w:tcW w:w="9180" w:type="dxa"/>
            <w:gridSpan w:val="4"/>
            <w:tcBorders>
              <w:left w:val="single" w:sz="12" w:space="0" w:color="000000"/>
              <w:bottom w:val="single" w:sz="12" w:space="0" w:color="000000"/>
              <w:right w:val="single" w:sz="6" w:space="0" w:color="000000"/>
            </w:tcBorders>
            <w:shd w:val="clear" w:color="auto" w:fill="auto"/>
            <w:vAlign w:val="center"/>
          </w:tcPr>
          <w:p w14:paraId="71C33FEF" w14:textId="77777777" w:rsidR="002173D0" w:rsidRDefault="00FC104E">
            <w:pPr>
              <w:jc w:val="center"/>
              <w:rPr>
                <w:rStyle w:val="Accentuation"/>
                <w:b/>
                <w:sz w:val="32"/>
                <w:szCs w:val="32"/>
              </w:rPr>
            </w:pPr>
            <w:r>
              <w:rPr>
                <w:rStyle w:val="Accentuation"/>
                <w:b/>
                <w:sz w:val="32"/>
                <w:szCs w:val="32"/>
              </w:rPr>
              <w:t>Micro X-ray Fluorescence Spectroscopy of Glass Samples in Forensic Science</w:t>
            </w:r>
          </w:p>
        </w:tc>
      </w:tr>
      <w:tr w:rsidR="002173D0" w14:paraId="41D8CE97" w14:textId="77777777" w:rsidTr="00432A9C">
        <w:tc>
          <w:tcPr>
            <w:tcW w:w="2518" w:type="dxa"/>
            <w:tcBorders>
              <w:left w:val="single" w:sz="12" w:space="0" w:color="000000"/>
              <w:bottom w:val="single" w:sz="12" w:space="0" w:color="000000"/>
              <w:right w:val="single" w:sz="6" w:space="0" w:color="000000"/>
            </w:tcBorders>
            <w:shd w:val="clear" w:color="auto" w:fill="auto"/>
          </w:tcPr>
          <w:p w14:paraId="38B6F907" w14:textId="77777777" w:rsidR="002173D0" w:rsidRDefault="00FC104E">
            <w:pPr>
              <w:spacing w:before="120" w:line="360" w:lineRule="auto"/>
              <w:rPr>
                <w:rFonts w:cs="Arial"/>
              </w:rPr>
            </w:pPr>
            <w:r>
              <w:rPr>
                <w:rFonts w:cs="Arial"/>
              </w:rPr>
              <w:t>DOCUMENT TYPE:</w:t>
            </w:r>
          </w:p>
          <w:p w14:paraId="3F781B73" w14:textId="77777777" w:rsidR="002173D0" w:rsidRDefault="00FC104E">
            <w:pPr>
              <w:spacing w:before="120" w:line="360" w:lineRule="auto"/>
              <w:rPr>
                <w:rFonts w:cs="Arial"/>
              </w:rPr>
            </w:pPr>
            <w:r>
              <w:rPr>
                <w:rFonts w:cs="Arial"/>
              </w:rPr>
              <w:t>GUIDELINE</w:t>
            </w:r>
          </w:p>
        </w:tc>
        <w:tc>
          <w:tcPr>
            <w:tcW w:w="2444" w:type="dxa"/>
            <w:tcBorders>
              <w:left w:val="single" w:sz="6" w:space="0" w:color="000000"/>
              <w:bottom w:val="single" w:sz="12" w:space="0" w:color="000000"/>
              <w:right w:val="single" w:sz="6" w:space="0" w:color="000000"/>
            </w:tcBorders>
            <w:shd w:val="clear" w:color="auto" w:fill="auto"/>
          </w:tcPr>
          <w:p w14:paraId="3B22A3EF" w14:textId="77777777" w:rsidR="002173D0" w:rsidRDefault="00FC104E">
            <w:pPr>
              <w:spacing w:before="120" w:line="360" w:lineRule="auto"/>
              <w:rPr>
                <w:rFonts w:cs="Arial"/>
              </w:rPr>
            </w:pPr>
            <w:r>
              <w:rPr>
                <w:rFonts w:cs="Arial"/>
              </w:rPr>
              <w:t xml:space="preserve">REF. CODE: </w:t>
            </w:r>
          </w:p>
          <w:p w14:paraId="37313FE8" w14:textId="60F704CC" w:rsidR="002173D0" w:rsidRDefault="00FC104E">
            <w:pPr>
              <w:spacing w:before="120" w:line="360" w:lineRule="auto"/>
              <w:rPr>
                <w:rFonts w:cs="Arial"/>
              </w:rPr>
            </w:pPr>
            <w:r>
              <w:rPr>
                <w:rFonts w:cs="Arial"/>
              </w:rPr>
              <w:t>EPG-GUIDELINE-</w:t>
            </w:r>
            <w:r w:rsidR="00432A9C">
              <w:rPr>
                <w:rFonts w:cs="Arial"/>
                <w:color w:val="FF0000"/>
              </w:rPr>
              <w:t>0</w:t>
            </w:r>
            <w:r w:rsidR="00432A9C">
              <w:rPr>
                <w:color w:val="FF0000"/>
              </w:rPr>
              <w:t>5</w:t>
            </w:r>
          </w:p>
        </w:tc>
        <w:tc>
          <w:tcPr>
            <w:tcW w:w="1667" w:type="dxa"/>
            <w:tcBorders>
              <w:top w:val="single" w:sz="6" w:space="0" w:color="000000"/>
              <w:left w:val="single" w:sz="6" w:space="0" w:color="000000"/>
              <w:bottom w:val="single" w:sz="12" w:space="0" w:color="000000"/>
              <w:right w:val="single" w:sz="6" w:space="0" w:color="000000"/>
            </w:tcBorders>
            <w:shd w:val="clear" w:color="auto" w:fill="auto"/>
          </w:tcPr>
          <w:p w14:paraId="4A9AE3E1" w14:textId="77777777" w:rsidR="002173D0" w:rsidRDefault="00FC104E">
            <w:pPr>
              <w:spacing w:before="120" w:line="360" w:lineRule="auto"/>
              <w:rPr>
                <w:rFonts w:cs="Arial"/>
              </w:rPr>
            </w:pPr>
            <w:r>
              <w:rPr>
                <w:rFonts w:cs="Arial"/>
              </w:rPr>
              <w:t>ISSUE NO:</w:t>
            </w:r>
          </w:p>
          <w:p w14:paraId="75062BEB" w14:textId="77777777" w:rsidR="002173D0" w:rsidRDefault="00FC104E">
            <w:pPr>
              <w:spacing w:before="120" w:line="360" w:lineRule="auto"/>
              <w:rPr>
                <w:rFonts w:cs="Arial"/>
                <w:color w:val="FF0000"/>
              </w:rPr>
            </w:pPr>
            <w:r>
              <w:rPr>
                <w:rFonts w:cs="Arial"/>
                <w:color w:val="FF0000"/>
              </w:rPr>
              <w:t>xx</w:t>
            </w:r>
          </w:p>
        </w:tc>
        <w:tc>
          <w:tcPr>
            <w:tcW w:w="2551" w:type="dxa"/>
            <w:tcBorders>
              <w:top w:val="single" w:sz="6" w:space="0" w:color="000000"/>
              <w:left w:val="single" w:sz="6" w:space="0" w:color="000000"/>
              <w:bottom w:val="single" w:sz="12" w:space="0" w:color="000000"/>
              <w:right w:val="single" w:sz="12" w:space="0" w:color="000000"/>
            </w:tcBorders>
            <w:shd w:val="clear" w:color="auto" w:fill="auto"/>
          </w:tcPr>
          <w:p w14:paraId="05383183" w14:textId="77777777" w:rsidR="002173D0" w:rsidRDefault="00FC104E">
            <w:pPr>
              <w:spacing w:before="120" w:line="360" w:lineRule="auto"/>
              <w:rPr>
                <w:rFonts w:cs="Arial"/>
                <w:color w:val="FF0000"/>
              </w:rPr>
            </w:pPr>
            <w:r>
              <w:rPr>
                <w:rFonts w:cs="Arial"/>
              </w:rPr>
              <w:t>ISSUE DAT</w:t>
            </w:r>
            <w:r>
              <w:rPr>
                <w:rFonts w:cs="Arial"/>
                <w:color w:val="000000"/>
              </w:rPr>
              <w:t>E:</w:t>
            </w:r>
          </w:p>
          <w:p w14:paraId="5DA9A8F2" w14:textId="77777777" w:rsidR="002173D0" w:rsidRDefault="00FC104E">
            <w:pPr>
              <w:spacing w:before="120" w:line="360" w:lineRule="auto"/>
              <w:rPr>
                <w:rFonts w:cs="Arial"/>
              </w:rPr>
            </w:pPr>
            <w:proofErr w:type="spellStart"/>
            <w:r>
              <w:rPr>
                <w:rFonts w:cs="Arial"/>
                <w:color w:val="FF0000"/>
              </w:rPr>
              <w:t>xx.xx.xxxx</w:t>
            </w:r>
            <w:proofErr w:type="spellEnd"/>
          </w:p>
        </w:tc>
      </w:tr>
    </w:tbl>
    <w:p w14:paraId="6A05A809" w14:textId="77777777" w:rsidR="002173D0" w:rsidRDefault="002173D0">
      <w:pPr>
        <w:rPr>
          <w:rFonts w:cs="Arial"/>
          <w:sz w:val="24"/>
          <w:szCs w:val="24"/>
        </w:rPr>
      </w:pPr>
    </w:p>
    <w:p w14:paraId="5A39BBE3" w14:textId="77777777" w:rsidR="002173D0" w:rsidRDefault="002173D0">
      <w:pPr>
        <w:ind w:left="510" w:hanging="510"/>
        <w:outlineLvl w:val="0"/>
        <w:rPr>
          <w:rFonts w:cs="Arial"/>
          <w:sz w:val="24"/>
          <w:szCs w:val="24"/>
        </w:rPr>
      </w:pPr>
    </w:p>
    <w:p w14:paraId="68C61164" w14:textId="77777777" w:rsidR="002173D0" w:rsidRDefault="00FC104E">
      <w:bookmarkStart w:id="1" w:name="_Toc62738736"/>
      <w:r>
        <w:t>GENERAL REMARK</w:t>
      </w:r>
      <w:bookmarkEnd w:id="1"/>
    </w:p>
    <w:p w14:paraId="039CE86E" w14:textId="77777777" w:rsidR="002173D0" w:rsidRDefault="00FC104E">
      <w:pPr>
        <w:rPr>
          <w:rFonts w:eastAsia="Calibri" w:cs="Arial"/>
        </w:rPr>
      </w:pPr>
      <w:r>
        <w:rPr>
          <w:rFonts w:eastAsia="Calibri" w:cs="Arial"/>
          <w:szCs w:val="22"/>
        </w:rPr>
        <w:t>This</w:t>
      </w:r>
      <w:r>
        <w:rPr>
          <w:rFonts w:eastAsia="Calibri" w:cs="Arial"/>
        </w:rPr>
        <w:t xml:space="preserve"> guideline assumes prior knowledge in the forensic discipline. It is based on consensus among the relevant forensic experts and reflects the accepted practices at the time of writing. The requirements of the judicial systems are addressed in general terms only.</w:t>
      </w:r>
    </w:p>
    <w:p w14:paraId="41C8F396" w14:textId="77777777" w:rsidR="002173D0" w:rsidRDefault="00FC104E">
      <w:pPr>
        <w:jc w:val="left"/>
        <w:rPr>
          <w:rFonts w:eastAsia="Calibri" w:cs="Arial"/>
          <w:szCs w:val="22"/>
        </w:rPr>
      </w:pPr>
      <w:r>
        <w:br w:type="page"/>
      </w:r>
    </w:p>
    <w:p w14:paraId="62EF5CF3" w14:textId="77777777" w:rsidR="002173D0" w:rsidRDefault="00FC104E">
      <w:pPr>
        <w:rPr>
          <w:rStyle w:val="Sterk"/>
          <w:rFonts w:eastAsia="Calibri"/>
        </w:rPr>
      </w:pPr>
      <w:r>
        <w:rPr>
          <w:rStyle w:val="Sterk"/>
          <w:rFonts w:eastAsia="Calibri"/>
        </w:rPr>
        <w:lastRenderedPageBreak/>
        <w:t>Content Page</w:t>
      </w:r>
    </w:p>
    <w:sdt>
      <w:sdtPr>
        <w:rPr>
          <w:rFonts w:ascii="Arial" w:eastAsia="Times New Roman" w:hAnsi="Arial" w:cs="Times New Roman"/>
          <w:b/>
          <w:color w:val="auto"/>
          <w:sz w:val="24"/>
          <w:szCs w:val="20"/>
          <w:lang w:val="en-GB" w:eastAsia="en-US"/>
        </w:rPr>
        <w:id w:val="1735399116"/>
        <w:docPartObj>
          <w:docPartGallery w:val="Table of Contents"/>
          <w:docPartUnique/>
        </w:docPartObj>
      </w:sdtPr>
      <w:sdtEndPr/>
      <w:sdtContent>
        <w:p w14:paraId="72A3D3EC" w14:textId="77777777" w:rsidR="002173D0" w:rsidRDefault="002173D0">
          <w:pPr>
            <w:pStyle w:val="Overskriftforinnholdsfortegnelse"/>
          </w:pPr>
        </w:p>
        <w:p w14:paraId="60565BBF" w14:textId="6816F69F" w:rsidR="008070E4" w:rsidRDefault="00FC104E">
          <w:pPr>
            <w:pStyle w:val="INNH1"/>
            <w:rPr>
              <w:rFonts w:asciiTheme="minorHAnsi" w:eastAsiaTheme="minorEastAsia" w:hAnsiTheme="minorHAnsi" w:cstheme="minorBidi"/>
              <w:noProof/>
              <w:szCs w:val="22"/>
              <w:lang w:val="nb-NO" w:eastAsia="nb-NO"/>
            </w:rPr>
          </w:pPr>
          <w:r>
            <w:fldChar w:fldCharType="begin"/>
          </w:r>
          <w:r>
            <w:rPr>
              <w:rStyle w:val="Sautdindex"/>
              <w:webHidden/>
            </w:rPr>
            <w:instrText>TOC \z \o "1-3" \u \h</w:instrText>
          </w:r>
          <w:r>
            <w:rPr>
              <w:rStyle w:val="Sautdindex"/>
            </w:rPr>
            <w:fldChar w:fldCharType="separate"/>
          </w:r>
          <w:hyperlink w:anchor="_Toc115987962" w:history="1">
            <w:r w:rsidR="008070E4" w:rsidRPr="00D4728A">
              <w:rPr>
                <w:rStyle w:val="Hyperkobling"/>
                <w:noProof/>
              </w:rPr>
              <w:t>1</w:t>
            </w:r>
            <w:r w:rsidR="008070E4">
              <w:rPr>
                <w:rFonts w:asciiTheme="minorHAnsi" w:eastAsiaTheme="minorEastAsia" w:hAnsiTheme="minorHAnsi" w:cstheme="minorBidi"/>
                <w:noProof/>
                <w:szCs w:val="22"/>
                <w:lang w:val="nb-NO" w:eastAsia="nb-NO"/>
              </w:rPr>
              <w:tab/>
            </w:r>
            <w:r w:rsidR="008070E4" w:rsidRPr="00D4728A">
              <w:rPr>
                <w:rStyle w:val="Hyperkobling"/>
                <w:noProof/>
              </w:rPr>
              <w:t>Aims</w:t>
            </w:r>
            <w:r w:rsidR="008070E4">
              <w:rPr>
                <w:noProof/>
                <w:webHidden/>
              </w:rPr>
              <w:tab/>
            </w:r>
            <w:r w:rsidR="008070E4">
              <w:rPr>
                <w:noProof/>
                <w:webHidden/>
              </w:rPr>
              <w:fldChar w:fldCharType="begin"/>
            </w:r>
            <w:r w:rsidR="008070E4">
              <w:rPr>
                <w:noProof/>
                <w:webHidden/>
              </w:rPr>
              <w:instrText xml:space="preserve"> PAGEREF _Toc115987962 \h </w:instrText>
            </w:r>
            <w:r w:rsidR="008070E4">
              <w:rPr>
                <w:noProof/>
                <w:webHidden/>
              </w:rPr>
            </w:r>
            <w:r w:rsidR="008070E4">
              <w:rPr>
                <w:noProof/>
                <w:webHidden/>
              </w:rPr>
              <w:fldChar w:fldCharType="separate"/>
            </w:r>
            <w:r w:rsidR="008070E4">
              <w:rPr>
                <w:noProof/>
                <w:webHidden/>
              </w:rPr>
              <w:t>3</w:t>
            </w:r>
            <w:r w:rsidR="008070E4">
              <w:rPr>
                <w:noProof/>
                <w:webHidden/>
              </w:rPr>
              <w:fldChar w:fldCharType="end"/>
            </w:r>
          </w:hyperlink>
        </w:p>
        <w:p w14:paraId="6C0A9B2E" w14:textId="24D4B610" w:rsidR="008070E4" w:rsidRDefault="001E53F2">
          <w:pPr>
            <w:pStyle w:val="INNH1"/>
            <w:rPr>
              <w:rFonts w:asciiTheme="minorHAnsi" w:eastAsiaTheme="minorEastAsia" w:hAnsiTheme="minorHAnsi" w:cstheme="minorBidi"/>
              <w:noProof/>
              <w:szCs w:val="22"/>
              <w:lang w:val="nb-NO" w:eastAsia="nb-NO"/>
            </w:rPr>
          </w:pPr>
          <w:hyperlink w:anchor="_Toc115987963" w:history="1">
            <w:r w:rsidR="008070E4" w:rsidRPr="00D4728A">
              <w:rPr>
                <w:rStyle w:val="Hyperkobling"/>
                <w:noProof/>
              </w:rPr>
              <w:t>2</w:t>
            </w:r>
            <w:r w:rsidR="008070E4">
              <w:rPr>
                <w:rFonts w:asciiTheme="minorHAnsi" w:eastAsiaTheme="minorEastAsia" w:hAnsiTheme="minorHAnsi" w:cstheme="minorBidi"/>
                <w:noProof/>
                <w:szCs w:val="22"/>
                <w:lang w:val="nb-NO" w:eastAsia="nb-NO"/>
              </w:rPr>
              <w:tab/>
            </w:r>
            <w:r w:rsidR="008070E4" w:rsidRPr="00D4728A">
              <w:rPr>
                <w:rStyle w:val="Hyperkobling"/>
                <w:noProof/>
              </w:rPr>
              <w:t>Scope</w:t>
            </w:r>
            <w:r w:rsidR="008070E4">
              <w:rPr>
                <w:noProof/>
                <w:webHidden/>
              </w:rPr>
              <w:tab/>
            </w:r>
            <w:r w:rsidR="008070E4">
              <w:rPr>
                <w:noProof/>
                <w:webHidden/>
              </w:rPr>
              <w:fldChar w:fldCharType="begin"/>
            </w:r>
            <w:r w:rsidR="008070E4">
              <w:rPr>
                <w:noProof/>
                <w:webHidden/>
              </w:rPr>
              <w:instrText xml:space="preserve"> PAGEREF _Toc115987963 \h </w:instrText>
            </w:r>
            <w:r w:rsidR="008070E4">
              <w:rPr>
                <w:noProof/>
                <w:webHidden/>
              </w:rPr>
            </w:r>
            <w:r w:rsidR="008070E4">
              <w:rPr>
                <w:noProof/>
                <w:webHidden/>
              </w:rPr>
              <w:fldChar w:fldCharType="separate"/>
            </w:r>
            <w:r w:rsidR="008070E4">
              <w:rPr>
                <w:noProof/>
                <w:webHidden/>
              </w:rPr>
              <w:t>3</w:t>
            </w:r>
            <w:r w:rsidR="008070E4">
              <w:rPr>
                <w:noProof/>
                <w:webHidden/>
              </w:rPr>
              <w:fldChar w:fldCharType="end"/>
            </w:r>
          </w:hyperlink>
        </w:p>
        <w:p w14:paraId="6DF02A05" w14:textId="6E7C8E9A" w:rsidR="008070E4" w:rsidRDefault="001E53F2">
          <w:pPr>
            <w:pStyle w:val="INNH1"/>
            <w:rPr>
              <w:rFonts w:asciiTheme="minorHAnsi" w:eastAsiaTheme="minorEastAsia" w:hAnsiTheme="minorHAnsi" w:cstheme="minorBidi"/>
              <w:noProof/>
              <w:szCs w:val="22"/>
              <w:lang w:val="nb-NO" w:eastAsia="nb-NO"/>
            </w:rPr>
          </w:pPr>
          <w:hyperlink w:anchor="_Toc115987964" w:history="1">
            <w:r w:rsidR="008070E4" w:rsidRPr="00D4728A">
              <w:rPr>
                <w:rStyle w:val="Hyperkobling"/>
                <w:noProof/>
              </w:rPr>
              <w:t>3</w:t>
            </w:r>
            <w:r w:rsidR="008070E4">
              <w:rPr>
                <w:rFonts w:asciiTheme="minorHAnsi" w:eastAsiaTheme="minorEastAsia" w:hAnsiTheme="minorHAnsi" w:cstheme="minorBidi"/>
                <w:noProof/>
                <w:szCs w:val="22"/>
                <w:lang w:val="nb-NO" w:eastAsia="nb-NO"/>
              </w:rPr>
              <w:tab/>
            </w:r>
            <w:r w:rsidR="008070E4" w:rsidRPr="00D4728A">
              <w:rPr>
                <w:rStyle w:val="Hyperkobling"/>
                <w:noProof/>
              </w:rPr>
              <w:t>Definitions and Terms</w:t>
            </w:r>
            <w:r w:rsidR="008070E4">
              <w:rPr>
                <w:noProof/>
                <w:webHidden/>
              </w:rPr>
              <w:tab/>
            </w:r>
            <w:r w:rsidR="008070E4">
              <w:rPr>
                <w:noProof/>
                <w:webHidden/>
              </w:rPr>
              <w:fldChar w:fldCharType="begin"/>
            </w:r>
            <w:r w:rsidR="008070E4">
              <w:rPr>
                <w:noProof/>
                <w:webHidden/>
              </w:rPr>
              <w:instrText xml:space="preserve"> PAGEREF _Toc115987964 \h </w:instrText>
            </w:r>
            <w:r w:rsidR="008070E4">
              <w:rPr>
                <w:noProof/>
                <w:webHidden/>
              </w:rPr>
            </w:r>
            <w:r w:rsidR="008070E4">
              <w:rPr>
                <w:noProof/>
                <w:webHidden/>
              </w:rPr>
              <w:fldChar w:fldCharType="separate"/>
            </w:r>
            <w:r w:rsidR="008070E4">
              <w:rPr>
                <w:noProof/>
                <w:webHidden/>
              </w:rPr>
              <w:t>3</w:t>
            </w:r>
            <w:r w:rsidR="008070E4">
              <w:rPr>
                <w:noProof/>
                <w:webHidden/>
              </w:rPr>
              <w:fldChar w:fldCharType="end"/>
            </w:r>
          </w:hyperlink>
        </w:p>
        <w:p w14:paraId="3188FAD4" w14:textId="7665E0F7" w:rsidR="008070E4" w:rsidRDefault="001E53F2">
          <w:pPr>
            <w:pStyle w:val="INNH1"/>
            <w:rPr>
              <w:rFonts w:asciiTheme="minorHAnsi" w:eastAsiaTheme="minorEastAsia" w:hAnsiTheme="minorHAnsi" w:cstheme="minorBidi"/>
              <w:noProof/>
              <w:szCs w:val="22"/>
              <w:lang w:val="nb-NO" w:eastAsia="nb-NO"/>
            </w:rPr>
          </w:pPr>
          <w:hyperlink w:anchor="_Toc115987965" w:history="1">
            <w:r w:rsidR="008070E4" w:rsidRPr="00D4728A">
              <w:rPr>
                <w:rStyle w:val="Hyperkobling"/>
                <w:noProof/>
              </w:rPr>
              <w:t>4</w:t>
            </w:r>
            <w:r w:rsidR="008070E4">
              <w:rPr>
                <w:rFonts w:asciiTheme="minorHAnsi" w:eastAsiaTheme="minorEastAsia" w:hAnsiTheme="minorHAnsi" w:cstheme="minorBidi"/>
                <w:noProof/>
                <w:szCs w:val="22"/>
                <w:lang w:val="nb-NO" w:eastAsia="nb-NO"/>
              </w:rPr>
              <w:tab/>
            </w:r>
            <w:r w:rsidR="008070E4" w:rsidRPr="00D4728A">
              <w:rPr>
                <w:rStyle w:val="Hyperkobling"/>
                <w:noProof/>
              </w:rPr>
              <w:t>Introduction</w:t>
            </w:r>
            <w:r w:rsidR="008070E4">
              <w:rPr>
                <w:noProof/>
                <w:webHidden/>
              </w:rPr>
              <w:tab/>
            </w:r>
            <w:r w:rsidR="008070E4">
              <w:rPr>
                <w:noProof/>
                <w:webHidden/>
              </w:rPr>
              <w:fldChar w:fldCharType="begin"/>
            </w:r>
            <w:r w:rsidR="008070E4">
              <w:rPr>
                <w:noProof/>
                <w:webHidden/>
              </w:rPr>
              <w:instrText xml:space="preserve"> PAGEREF _Toc115987965 \h </w:instrText>
            </w:r>
            <w:r w:rsidR="008070E4">
              <w:rPr>
                <w:noProof/>
                <w:webHidden/>
              </w:rPr>
            </w:r>
            <w:r w:rsidR="008070E4">
              <w:rPr>
                <w:noProof/>
                <w:webHidden/>
              </w:rPr>
              <w:fldChar w:fldCharType="separate"/>
            </w:r>
            <w:r w:rsidR="008070E4">
              <w:rPr>
                <w:noProof/>
                <w:webHidden/>
              </w:rPr>
              <w:t>3</w:t>
            </w:r>
            <w:r w:rsidR="008070E4">
              <w:rPr>
                <w:noProof/>
                <w:webHidden/>
              </w:rPr>
              <w:fldChar w:fldCharType="end"/>
            </w:r>
          </w:hyperlink>
        </w:p>
        <w:p w14:paraId="6F0B57FA" w14:textId="34D73D66" w:rsidR="008070E4" w:rsidRDefault="001E53F2">
          <w:pPr>
            <w:pStyle w:val="INNH1"/>
            <w:rPr>
              <w:rFonts w:asciiTheme="minorHAnsi" w:eastAsiaTheme="minorEastAsia" w:hAnsiTheme="minorHAnsi" w:cstheme="minorBidi"/>
              <w:noProof/>
              <w:szCs w:val="22"/>
              <w:lang w:val="nb-NO" w:eastAsia="nb-NO"/>
            </w:rPr>
          </w:pPr>
          <w:hyperlink w:anchor="_Toc115987966" w:history="1">
            <w:r w:rsidR="008070E4" w:rsidRPr="00D4728A">
              <w:rPr>
                <w:rStyle w:val="Hyperkobling"/>
                <w:noProof/>
              </w:rPr>
              <w:t>5</w:t>
            </w:r>
            <w:r w:rsidR="008070E4">
              <w:rPr>
                <w:rFonts w:asciiTheme="minorHAnsi" w:eastAsiaTheme="minorEastAsia" w:hAnsiTheme="minorHAnsi" w:cstheme="minorBidi"/>
                <w:noProof/>
                <w:szCs w:val="22"/>
                <w:lang w:val="nb-NO" w:eastAsia="nb-NO"/>
              </w:rPr>
              <w:tab/>
            </w:r>
            <w:r w:rsidR="008070E4" w:rsidRPr="00D4728A">
              <w:rPr>
                <w:rStyle w:val="Hyperkobling"/>
                <w:noProof/>
              </w:rPr>
              <w:t>Methology</w:t>
            </w:r>
            <w:r w:rsidR="008070E4">
              <w:rPr>
                <w:noProof/>
                <w:webHidden/>
              </w:rPr>
              <w:tab/>
            </w:r>
            <w:r w:rsidR="008070E4">
              <w:rPr>
                <w:noProof/>
                <w:webHidden/>
              </w:rPr>
              <w:fldChar w:fldCharType="begin"/>
            </w:r>
            <w:r w:rsidR="008070E4">
              <w:rPr>
                <w:noProof/>
                <w:webHidden/>
              </w:rPr>
              <w:instrText xml:space="preserve"> PAGEREF _Toc115987966 \h </w:instrText>
            </w:r>
            <w:r w:rsidR="008070E4">
              <w:rPr>
                <w:noProof/>
                <w:webHidden/>
              </w:rPr>
            </w:r>
            <w:r w:rsidR="008070E4">
              <w:rPr>
                <w:noProof/>
                <w:webHidden/>
              </w:rPr>
              <w:fldChar w:fldCharType="separate"/>
            </w:r>
            <w:r w:rsidR="008070E4">
              <w:rPr>
                <w:noProof/>
                <w:webHidden/>
              </w:rPr>
              <w:t>3</w:t>
            </w:r>
            <w:r w:rsidR="008070E4">
              <w:rPr>
                <w:noProof/>
                <w:webHidden/>
              </w:rPr>
              <w:fldChar w:fldCharType="end"/>
            </w:r>
          </w:hyperlink>
        </w:p>
        <w:p w14:paraId="213AFE2B" w14:textId="066AA52C" w:rsidR="008070E4" w:rsidRDefault="001E53F2">
          <w:pPr>
            <w:pStyle w:val="INNH2"/>
            <w:tabs>
              <w:tab w:val="left" w:pos="880"/>
              <w:tab w:val="right" w:leader="dot" w:pos="9209"/>
            </w:tabs>
            <w:rPr>
              <w:rFonts w:asciiTheme="minorHAnsi" w:eastAsiaTheme="minorEastAsia" w:hAnsiTheme="minorHAnsi" w:cstheme="minorBidi"/>
              <w:noProof/>
              <w:szCs w:val="22"/>
              <w:lang w:val="nb-NO" w:eastAsia="nb-NO"/>
            </w:rPr>
          </w:pPr>
          <w:hyperlink w:anchor="_Toc115987967" w:history="1">
            <w:r w:rsidR="008070E4" w:rsidRPr="00D4728A">
              <w:rPr>
                <w:rStyle w:val="Hyperkobling"/>
                <w:noProof/>
              </w:rPr>
              <w:t>5.1</w:t>
            </w:r>
            <w:r w:rsidR="008070E4">
              <w:rPr>
                <w:rFonts w:asciiTheme="minorHAnsi" w:eastAsiaTheme="minorEastAsia" w:hAnsiTheme="minorHAnsi" w:cstheme="minorBidi"/>
                <w:noProof/>
                <w:szCs w:val="22"/>
                <w:lang w:val="nb-NO" w:eastAsia="nb-NO"/>
              </w:rPr>
              <w:tab/>
            </w:r>
            <w:r w:rsidR="008070E4" w:rsidRPr="00D4728A">
              <w:rPr>
                <w:rStyle w:val="Hyperkobling"/>
                <w:noProof/>
              </w:rPr>
              <w:t>Instrumentation</w:t>
            </w:r>
            <w:r w:rsidR="008070E4">
              <w:rPr>
                <w:noProof/>
                <w:webHidden/>
              </w:rPr>
              <w:tab/>
            </w:r>
            <w:r w:rsidR="008070E4">
              <w:rPr>
                <w:noProof/>
                <w:webHidden/>
              </w:rPr>
              <w:fldChar w:fldCharType="begin"/>
            </w:r>
            <w:r w:rsidR="008070E4">
              <w:rPr>
                <w:noProof/>
                <w:webHidden/>
              </w:rPr>
              <w:instrText xml:space="preserve"> PAGEREF _Toc115987967 \h </w:instrText>
            </w:r>
            <w:r w:rsidR="008070E4">
              <w:rPr>
                <w:noProof/>
                <w:webHidden/>
              </w:rPr>
            </w:r>
            <w:r w:rsidR="008070E4">
              <w:rPr>
                <w:noProof/>
                <w:webHidden/>
              </w:rPr>
              <w:fldChar w:fldCharType="separate"/>
            </w:r>
            <w:r w:rsidR="008070E4">
              <w:rPr>
                <w:noProof/>
                <w:webHidden/>
              </w:rPr>
              <w:t>3</w:t>
            </w:r>
            <w:r w:rsidR="008070E4">
              <w:rPr>
                <w:noProof/>
                <w:webHidden/>
              </w:rPr>
              <w:fldChar w:fldCharType="end"/>
            </w:r>
          </w:hyperlink>
        </w:p>
        <w:p w14:paraId="6F358445" w14:textId="309E17B8" w:rsidR="008070E4" w:rsidRDefault="001E53F2">
          <w:pPr>
            <w:pStyle w:val="INNH2"/>
            <w:tabs>
              <w:tab w:val="left" w:pos="880"/>
              <w:tab w:val="right" w:leader="dot" w:pos="9209"/>
            </w:tabs>
            <w:rPr>
              <w:rFonts w:asciiTheme="minorHAnsi" w:eastAsiaTheme="minorEastAsia" w:hAnsiTheme="minorHAnsi" w:cstheme="minorBidi"/>
              <w:noProof/>
              <w:szCs w:val="22"/>
              <w:lang w:val="nb-NO" w:eastAsia="nb-NO"/>
            </w:rPr>
          </w:pPr>
          <w:hyperlink w:anchor="_Toc115987968" w:history="1">
            <w:r w:rsidR="008070E4" w:rsidRPr="00D4728A">
              <w:rPr>
                <w:rStyle w:val="Hyperkobling"/>
                <w:noProof/>
              </w:rPr>
              <w:t>5.2</w:t>
            </w:r>
            <w:r w:rsidR="008070E4">
              <w:rPr>
                <w:rFonts w:asciiTheme="minorHAnsi" w:eastAsiaTheme="minorEastAsia" w:hAnsiTheme="minorHAnsi" w:cstheme="minorBidi"/>
                <w:noProof/>
                <w:szCs w:val="22"/>
                <w:lang w:val="nb-NO" w:eastAsia="nb-NO"/>
              </w:rPr>
              <w:tab/>
            </w:r>
            <w:r w:rsidR="008070E4" w:rsidRPr="00D4728A">
              <w:rPr>
                <w:rStyle w:val="Hyperkobling"/>
                <w:noProof/>
              </w:rPr>
              <w:t>Limitations</w:t>
            </w:r>
            <w:r w:rsidR="008070E4">
              <w:rPr>
                <w:noProof/>
                <w:webHidden/>
              </w:rPr>
              <w:tab/>
            </w:r>
            <w:r w:rsidR="008070E4">
              <w:rPr>
                <w:noProof/>
                <w:webHidden/>
              </w:rPr>
              <w:fldChar w:fldCharType="begin"/>
            </w:r>
            <w:r w:rsidR="008070E4">
              <w:rPr>
                <w:noProof/>
                <w:webHidden/>
              </w:rPr>
              <w:instrText xml:space="preserve"> PAGEREF _Toc115987968 \h </w:instrText>
            </w:r>
            <w:r w:rsidR="008070E4">
              <w:rPr>
                <w:noProof/>
                <w:webHidden/>
              </w:rPr>
            </w:r>
            <w:r w:rsidR="008070E4">
              <w:rPr>
                <w:noProof/>
                <w:webHidden/>
              </w:rPr>
              <w:fldChar w:fldCharType="separate"/>
            </w:r>
            <w:r w:rsidR="008070E4">
              <w:rPr>
                <w:noProof/>
                <w:webHidden/>
              </w:rPr>
              <w:t>4</w:t>
            </w:r>
            <w:r w:rsidR="008070E4">
              <w:rPr>
                <w:noProof/>
                <w:webHidden/>
              </w:rPr>
              <w:fldChar w:fldCharType="end"/>
            </w:r>
          </w:hyperlink>
        </w:p>
        <w:p w14:paraId="7320444C" w14:textId="03360A8E" w:rsidR="008070E4" w:rsidRDefault="001E53F2">
          <w:pPr>
            <w:pStyle w:val="INNH1"/>
            <w:rPr>
              <w:rFonts w:asciiTheme="minorHAnsi" w:eastAsiaTheme="minorEastAsia" w:hAnsiTheme="minorHAnsi" w:cstheme="minorBidi"/>
              <w:noProof/>
              <w:szCs w:val="22"/>
              <w:lang w:val="nb-NO" w:eastAsia="nb-NO"/>
            </w:rPr>
          </w:pPr>
          <w:hyperlink w:anchor="_Toc115987969" w:history="1">
            <w:r w:rsidR="008070E4" w:rsidRPr="00D4728A">
              <w:rPr>
                <w:rStyle w:val="Hyperkobling"/>
                <w:noProof/>
              </w:rPr>
              <w:t>6</w:t>
            </w:r>
            <w:r w:rsidR="008070E4">
              <w:rPr>
                <w:rFonts w:asciiTheme="minorHAnsi" w:eastAsiaTheme="minorEastAsia" w:hAnsiTheme="minorHAnsi" w:cstheme="minorBidi"/>
                <w:noProof/>
                <w:szCs w:val="22"/>
                <w:lang w:val="nb-NO" w:eastAsia="nb-NO"/>
              </w:rPr>
              <w:tab/>
            </w:r>
            <w:r w:rsidR="008070E4" w:rsidRPr="00D4728A">
              <w:rPr>
                <w:rStyle w:val="Hyperkobling"/>
                <w:noProof/>
              </w:rPr>
              <w:t>Sample Preparation</w:t>
            </w:r>
            <w:r w:rsidR="008070E4">
              <w:rPr>
                <w:noProof/>
                <w:webHidden/>
              </w:rPr>
              <w:tab/>
            </w:r>
            <w:r w:rsidR="008070E4">
              <w:rPr>
                <w:noProof/>
                <w:webHidden/>
              </w:rPr>
              <w:fldChar w:fldCharType="begin"/>
            </w:r>
            <w:r w:rsidR="008070E4">
              <w:rPr>
                <w:noProof/>
                <w:webHidden/>
              </w:rPr>
              <w:instrText xml:space="preserve"> PAGEREF _Toc115987969 \h </w:instrText>
            </w:r>
            <w:r w:rsidR="008070E4">
              <w:rPr>
                <w:noProof/>
                <w:webHidden/>
              </w:rPr>
            </w:r>
            <w:r w:rsidR="008070E4">
              <w:rPr>
                <w:noProof/>
                <w:webHidden/>
              </w:rPr>
              <w:fldChar w:fldCharType="separate"/>
            </w:r>
            <w:r w:rsidR="008070E4">
              <w:rPr>
                <w:noProof/>
                <w:webHidden/>
              </w:rPr>
              <w:t>5</w:t>
            </w:r>
            <w:r w:rsidR="008070E4">
              <w:rPr>
                <w:noProof/>
                <w:webHidden/>
              </w:rPr>
              <w:fldChar w:fldCharType="end"/>
            </w:r>
          </w:hyperlink>
        </w:p>
        <w:p w14:paraId="37E913EB" w14:textId="61A1AA2F" w:rsidR="008070E4" w:rsidRDefault="001E53F2">
          <w:pPr>
            <w:pStyle w:val="INNH2"/>
            <w:tabs>
              <w:tab w:val="left" w:pos="880"/>
              <w:tab w:val="right" w:leader="dot" w:pos="9209"/>
            </w:tabs>
            <w:rPr>
              <w:rFonts w:asciiTheme="minorHAnsi" w:eastAsiaTheme="minorEastAsia" w:hAnsiTheme="minorHAnsi" w:cstheme="minorBidi"/>
              <w:noProof/>
              <w:szCs w:val="22"/>
              <w:lang w:val="nb-NO" w:eastAsia="nb-NO"/>
            </w:rPr>
          </w:pPr>
          <w:hyperlink w:anchor="_Toc115987970" w:history="1">
            <w:r w:rsidR="008070E4" w:rsidRPr="00D4728A">
              <w:rPr>
                <w:rStyle w:val="Hyperkobling"/>
                <w:noProof/>
              </w:rPr>
              <w:t>6.1</w:t>
            </w:r>
            <w:r w:rsidR="008070E4">
              <w:rPr>
                <w:rFonts w:asciiTheme="minorHAnsi" w:eastAsiaTheme="minorEastAsia" w:hAnsiTheme="minorHAnsi" w:cstheme="minorBidi"/>
                <w:noProof/>
                <w:szCs w:val="22"/>
                <w:lang w:val="nb-NO" w:eastAsia="nb-NO"/>
              </w:rPr>
              <w:tab/>
            </w:r>
            <w:r w:rsidR="008070E4" w:rsidRPr="00D4728A">
              <w:rPr>
                <w:rStyle w:val="Hyperkobling"/>
                <w:noProof/>
              </w:rPr>
              <w:t>Cleaning</w:t>
            </w:r>
            <w:r w:rsidR="008070E4">
              <w:rPr>
                <w:noProof/>
                <w:webHidden/>
              </w:rPr>
              <w:tab/>
            </w:r>
            <w:r w:rsidR="008070E4">
              <w:rPr>
                <w:noProof/>
                <w:webHidden/>
              </w:rPr>
              <w:fldChar w:fldCharType="begin"/>
            </w:r>
            <w:r w:rsidR="008070E4">
              <w:rPr>
                <w:noProof/>
                <w:webHidden/>
              </w:rPr>
              <w:instrText xml:space="preserve"> PAGEREF _Toc115987970 \h </w:instrText>
            </w:r>
            <w:r w:rsidR="008070E4">
              <w:rPr>
                <w:noProof/>
                <w:webHidden/>
              </w:rPr>
            </w:r>
            <w:r w:rsidR="008070E4">
              <w:rPr>
                <w:noProof/>
                <w:webHidden/>
              </w:rPr>
              <w:fldChar w:fldCharType="separate"/>
            </w:r>
            <w:r w:rsidR="008070E4">
              <w:rPr>
                <w:noProof/>
                <w:webHidden/>
              </w:rPr>
              <w:t>5</w:t>
            </w:r>
            <w:r w:rsidR="008070E4">
              <w:rPr>
                <w:noProof/>
                <w:webHidden/>
              </w:rPr>
              <w:fldChar w:fldCharType="end"/>
            </w:r>
          </w:hyperlink>
        </w:p>
        <w:p w14:paraId="03ADDF0A" w14:textId="4166C601" w:rsidR="008070E4" w:rsidRDefault="001E53F2">
          <w:pPr>
            <w:pStyle w:val="INNH2"/>
            <w:tabs>
              <w:tab w:val="left" w:pos="880"/>
              <w:tab w:val="right" w:leader="dot" w:pos="9209"/>
            </w:tabs>
            <w:rPr>
              <w:rFonts w:asciiTheme="minorHAnsi" w:eastAsiaTheme="minorEastAsia" w:hAnsiTheme="minorHAnsi" w:cstheme="minorBidi"/>
              <w:noProof/>
              <w:szCs w:val="22"/>
              <w:lang w:val="nb-NO" w:eastAsia="nb-NO"/>
            </w:rPr>
          </w:pPr>
          <w:hyperlink w:anchor="_Toc115987971" w:history="1">
            <w:r w:rsidR="008070E4" w:rsidRPr="00D4728A">
              <w:rPr>
                <w:rStyle w:val="Hyperkobling"/>
                <w:noProof/>
              </w:rPr>
              <w:t>6.2</w:t>
            </w:r>
            <w:r w:rsidR="008070E4">
              <w:rPr>
                <w:rFonts w:asciiTheme="minorHAnsi" w:eastAsiaTheme="minorEastAsia" w:hAnsiTheme="minorHAnsi" w:cstheme="minorBidi"/>
                <w:noProof/>
                <w:szCs w:val="22"/>
                <w:lang w:val="nb-NO" w:eastAsia="nb-NO"/>
              </w:rPr>
              <w:tab/>
            </w:r>
            <w:r w:rsidR="008070E4" w:rsidRPr="00D4728A">
              <w:rPr>
                <w:rStyle w:val="Hyperkobling"/>
                <w:noProof/>
              </w:rPr>
              <w:t>Embedding and Grinding/Polishing</w:t>
            </w:r>
            <w:r w:rsidR="008070E4">
              <w:rPr>
                <w:noProof/>
                <w:webHidden/>
              </w:rPr>
              <w:tab/>
            </w:r>
            <w:r w:rsidR="008070E4">
              <w:rPr>
                <w:noProof/>
                <w:webHidden/>
              </w:rPr>
              <w:fldChar w:fldCharType="begin"/>
            </w:r>
            <w:r w:rsidR="008070E4">
              <w:rPr>
                <w:noProof/>
                <w:webHidden/>
              </w:rPr>
              <w:instrText xml:space="preserve"> PAGEREF _Toc115987971 \h </w:instrText>
            </w:r>
            <w:r w:rsidR="008070E4">
              <w:rPr>
                <w:noProof/>
                <w:webHidden/>
              </w:rPr>
            </w:r>
            <w:r w:rsidR="008070E4">
              <w:rPr>
                <w:noProof/>
                <w:webHidden/>
              </w:rPr>
              <w:fldChar w:fldCharType="separate"/>
            </w:r>
            <w:r w:rsidR="008070E4">
              <w:rPr>
                <w:noProof/>
                <w:webHidden/>
              </w:rPr>
              <w:t>5</w:t>
            </w:r>
            <w:r w:rsidR="008070E4">
              <w:rPr>
                <w:noProof/>
                <w:webHidden/>
              </w:rPr>
              <w:fldChar w:fldCharType="end"/>
            </w:r>
          </w:hyperlink>
        </w:p>
        <w:p w14:paraId="40522CBE" w14:textId="4E06B115" w:rsidR="008070E4" w:rsidRDefault="001E53F2">
          <w:pPr>
            <w:pStyle w:val="INNH2"/>
            <w:tabs>
              <w:tab w:val="left" w:pos="880"/>
              <w:tab w:val="right" w:leader="dot" w:pos="9209"/>
            </w:tabs>
            <w:rPr>
              <w:rFonts w:asciiTheme="minorHAnsi" w:eastAsiaTheme="minorEastAsia" w:hAnsiTheme="minorHAnsi" w:cstheme="minorBidi"/>
              <w:noProof/>
              <w:szCs w:val="22"/>
              <w:lang w:val="nb-NO" w:eastAsia="nb-NO"/>
            </w:rPr>
          </w:pPr>
          <w:hyperlink w:anchor="_Toc115987972" w:history="1">
            <w:r w:rsidR="008070E4" w:rsidRPr="00D4728A">
              <w:rPr>
                <w:rStyle w:val="Hyperkobling"/>
                <w:noProof/>
              </w:rPr>
              <w:t>6.3</w:t>
            </w:r>
            <w:r w:rsidR="008070E4">
              <w:rPr>
                <w:rFonts w:asciiTheme="minorHAnsi" w:eastAsiaTheme="minorEastAsia" w:hAnsiTheme="minorHAnsi" w:cstheme="minorBidi"/>
                <w:noProof/>
                <w:szCs w:val="22"/>
                <w:lang w:val="nb-NO" w:eastAsia="nb-NO"/>
              </w:rPr>
              <w:tab/>
            </w:r>
            <w:r w:rsidR="008070E4" w:rsidRPr="00D4728A">
              <w:rPr>
                <w:rStyle w:val="Hyperkobling"/>
                <w:noProof/>
              </w:rPr>
              <w:t>Sample Fixation and Mounting</w:t>
            </w:r>
            <w:r w:rsidR="008070E4">
              <w:rPr>
                <w:noProof/>
                <w:webHidden/>
              </w:rPr>
              <w:tab/>
            </w:r>
            <w:r w:rsidR="008070E4">
              <w:rPr>
                <w:noProof/>
                <w:webHidden/>
              </w:rPr>
              <w:fldChar w:fldCharType="begin"/>
            </w:r>
            <w:r w:rsidR="008070E4">
              <w:rPr>
                <w:noProof/>
                <w:webHidden/>
              </w:rPr>
              <w:instrText xml:space="preserve"> PAGEREF _Toc115987972 \h </w:instrText>
            </w:r>
            <w:r w:rsidR="008070E4">
              <w:rPr>
                <w:noProof/>
                <w:webHidden/>
              </w:rPr>
            </w:r>
            <w:r w:rsidR="008070E4">
              <w:rPr>
                <w:noProof/>
                <w:webHidden/>
              </w:rPr>
              <w:fldChar w:fldCharType="separate"/>
            </w:r>
            <w:r w:rsidR="008070E4">
              <w:rPr>
                <w:noProof/>
                <w:webHidden/>
              </w:rPr>
              <w:t>5</w:t>
            </w:r>
            <w:r w:rsidR="008070E4">
              <w:rPr>
                <w:noProof/>
                <w:webHidden/>
              </w:rPr>
              <w:fldChar w:fldCharType="end"/>
            </w:r>
          </w:hyperlink>
        </w:p>
        <w:p w14:paraId="2B8B5203" w14:textId="14AA92C4" w:rsidR="008070E4" w:rsidRDefault="001E53F2">
          <w:pPr>
            <w:pStyle w:val="INNH1"/>
            <w:rPr>
              <w:rFonts w:asciiTheme="minorHAnsi" w:eastAsiaTheme="minorEastAsia" w:hAnsiTheme="minorHAnsi" w:cstheme="minorBidi"/>
              <w:noProof/>
              <w:szCs w:val="22"/>
              <w:lang w:val="nb-NO" w:eastAsia="nb-NO"/>
            </w:rPr>
          </w:pPr>
          <w:hyperlink w:anchor="_Toc115987973" w:history="1">
            <w:r w:rsidR="008070E4" w:rsidRPr="00D4728A">
              <w:rPr>
                <w:rStyle w:val="Hyperkobling"/>
                <w:noProof/>
                <w:lang w:val="en-US"/>
              </w:rPr>
              <w:t>7</w:t>
            </w:r>
            <w:r w:rsidR="008070E4">
              <w:rPr>
                <w:rFonts w:asciiTheme="minorHAnsi" w:eastAsiaTheme="minorEastAsia" w:hAnsiTheme="minorHAnsi" w:cstheme="minorBidi"/>
                <w:noProof/>
                <w:szCs w:val="22"/>
                <w:lang w:val="nb-NO" w:eastAsia="nb-NO"/>
              </w:rPr>
              <w:tab/>
            </w:r>
            <w:r w:rsidR="008070E4" w:rsidRPr="00D4728A">
              <w:rPr>
                <w:rStyle w:val="Hyperkobling"/>
                <w:noProof/>
                <w:lang w:val="en-US"/>
              </w:rPr>
              <w:t>Elemental Analysis</w:t>
            </w:r>
            <w:r w:rsidR="008070E4">
              <w:rPr>
                <w:noProof/>
                <w:webHidden/>
              </w:rPr>
              <w:tab/>
            </w:r>
            <w:r w:rsidR="008070E4">
              <w:rPr>
                <w:noProof/>
                <w:webHidden/>
              </w:rPr>
              <w:fldChar w:fldCharType="begin"/>
            </w:r>
            <w:r w:rsidR="008070E4">
              <w:rPr>
                <w:noProof/>
                <w:webHidden/>
              </w:rPr>
              <w:instrText xml:space="preserve"> PAGEREF _Toc115987973 \h </w:instrText>
            </w:r>
            <w:r w:rsidR="008070E4">
              <w:rPr>
                <w:noProof/>
                <w:webHidden/>
              </w:rPr>
            </w:r>
            <w:r w:rsidR="008070E4">
              <w:rPr>
                <w:noProof/>
                <w:webHidden/>
              </w:rPr>
              <w:fldChar w:fldCharType="separate"/>
            </w:r>
            <w:r w:rsidR="008070E4">
              <w:rPr>
                <w:noProof/>
                <w:webHidden/>
              </w:rPr>
              <w:t>5</w:t>
            </w:r>
            <w:r w:rsidR="008070E4">
              <w:rPr>
                <w:noProof/>
                <w:webHidden/>
              </w:rPr>
              <w:fldChar w:fldCharType="end"/>
            </w:r>
          </w:hyperlink>
        </w:p>
        <w:p w14:paraId="1AD60087" w14:textId="4F86FD3A" w:rsidR="008070E4" w:rsidRDefault="001E53F2">
          <w:pPr>
            <w:pStyle w:val="INNH2"/>
            <w:tabs>
              <w:tab w:val="left" w:pos="880"/>
              <w:tab w:val="right" w:leader="dot" w:pos="9209"/>
            </w:tabs>
            <w:rPr>
              <w:rFonts w:asciiTheme="minorHAnsi" w:eastAsiaTheme="minorEastAsia" w:hAnsiTheme="minorHAnsi" w:cstheme="minorBidi"/>
              <w:noProof/>
              <w:szCs w:val="22"/>
              <w:lang w:val="nb-NO" w:eastAsia="nb-NO"/>
            </w:rPr>
          </w:pPr>
          <w:hyperlink w:anchor="_Toc115987974" w:history="1">
            <w:r w:rsidR="008070E4" w:rsidRPr="00D4728A">
              <w:rPr>
                <w:rStyle w:val="Hyperkobling"/>
                <w:noProof/>
              </w:rPr>
              <w:t>7.1</w:t>
            </w:r>
            <w:r w:rsidR="008070E4">
              <w:rPr>
                <w:rFonts w:asciiTheme="minorHAnsi" w:eastAsiaTheme="minorEastAsia" w:hAnsiTheme="minorHAnsi" w:cstheme="minorBidi"/>
                <w:noProof/>
                <w:szCs w:val="22"/>
                <w:lang w:val="nb-NO" w:eastAsia="nb-NO"/>
              </w:rPr>
              <w:tab/>
            </w:r>
            <w:r w:rsidR="008070E4" w:rsidRPr="00D4728A">
              <w:rPr>
                <w:rStyle w:val="Hyperkobling"/>
                <w:noProof/>
              </w:rPr>
              <w:t>Functionality and Calibration</w:t>
            </w:r>
            <w:r w:rsidR="008070E4">
              <w:rPr>
                <w:noProof/>
                <w:webHidden/>
              </w:rPr>
              <w:tab/>
            </w:r>
            <w:r w:rsidR="008070E4">
              <w:rPr>
                <w:noProof/>
                <w:webHidden/>
              </w:rPr>
              <w:fldChar w:fldCharType="begin"/>
            </w:r>
            <w:r w:rsidR="008070E4">
              <w:rPr>
                <w:noProof/>
                <w:webHidden/>
              </w:rPr>
              <w:instrText xml:space="preserve"> PAGEREF _Toc115987974 \h </w:instrText>
            </w:r>
            <w:r w:rsidR="008070E4">
              <w:rPr>
                <w:noProof/>
                <w:webHidden/>
              </w:rPr>
            </w:r>
            <w:r w:rsidR="008070E4">
              <w:rPr>
                <w:noProof/>
                <w:webHidden/>
              </w:rPr>
              <w:fldChar w:fldCharType="separate"/>
            </w:r>
            <w:r w:rsidR="008070E4">
              <w:rPr>
                <w:noProof/>
                <w:webHidden/>
              </w:rPr>
              <w:t>5</w:t>
            </w:r>
            <w:r w:rsidR="008070E4">
              <w:rPr>
                <w:noProof/>
                <w:webHidden/>
              </w:rPr>
              <w:fldChar w:fldCharType="end"/>
            </w:r>
          </w:hyperlink>
        </w:p>
        <w:p w14:paraId="1EDF00CE" w14:textId="7F56198F" w:rsidR="008070E4" w:rsidRDefault="001E53F2">
          <w:pPr>
            <w:pStyle w:val="INNH3"/>
            <w:tabs>
              <w:tab w:val="left" w:pos="1320"/>
              <w:tab w:val="right" w:leader="dot" w:pos="9209"/>
            </w:tabs>
            <w:rPr>
              <w:rFonts w:asciiTheme="minorHAnsi" w:eastAsiaTheme="minorEastAsia" w:hAnsiTheme="minorHAnsi" w:cstheme="minorBidi"/>
              <w:noProof/>
              <w:szCs w:val="22"/>
              <w:lang w:val="nb-NO" w:eastAsia="nb-NO"/>
            </w:rPr>
          </w:pPr>
          <w:hyperlink w:anchor="_Toc115987975" w:history="1">
            <w:r w:rsidR="008070E4" w:rsidRPr="00D4728A">
              <w:rPr>
                <w:rStyle w:val="Hyperkobling"/>
                <w:noProof/>
                <w:lang w:val="en-US"/>
              </w:rPr>
              <w:t>7.1.1</w:t>
            </w:r>
            <w:r w:rsidR="008070E4">
              <w:rPr>
                <w:rFonts w:asciiTheme="minorHAnsi" w:eastAsiaTheme="minorEastAsia" w:hAnsiTheme="minorHAnsi" w:cstheme="minorBidi"/>
                <w:noProof/>
                <w:szCs w:val="22"/>
                <w:lang w:val="nb-NO" w:eastAsia="nb-NO"/>
              </w:rPr>
              <w:tab/>
            </w:r>
            <w:r w:rsidR="008070E4" w:rsidRPr="00D4728A">
              <w:rPr>
                <w:rStyle w:val="Hyperkobling"/>
                <w:noProof/>
                <w:lang w:val="en-US"/>
              </w:rPr>
              <w:t>Functionality Check</w:t>
            </w:r>
            <w:r w:rsidR="008070E4">
              <w:rPr>
                <w:noProof/>
                <w:webHidden/>
              </w:rPr>
              <w:tab/>
            </w:r>
            <w:r w:rsidR="008070E4">
              <w:rPr>
                <w:noProof/>
                <w:webHidden/>
              </w:rPr>
              <w:fldChar w:fldCharType="begin"/>
            </w:r>
            <w:r w:rsidR="008070E4">
              <w:rPr>
                <w:noProof/>
                <w:webHidden/>
              </w:rPr>
              <w:instrText xml:space="preserve"> PAGEREF _Toc115987975 \h </w:instrText>
            </w:r>
            <w:r w:rsidR="008070E4">
              <w:rPr>
                <w:noProof/>
                <w:webHidden/>
              </w:rPr>
            </w:r>
            <w:r w:rsidR="008070E4">
              <w:rPr>
                <w:noProof/>
                <w:webHidden/>
              </w:rPr>
              <w:fldChar w:fldCharType="separate"/>
            </w:r>
            <w:r w:rsidR="008070E4">
              <w:rPr>
                <w:noProof/>
                <w:webHidden/>
              </w:rPr>
              <w:t>5</w:t>
            </w:r>
            <w:r w:rsidR="008070E4">
              <w:rPr>
                <w:noProof/>
                <w:webHidden/>
              </w:rPr>
              <w:fldChar w:fldCharType="end"/>
            </w:r>
          </w:hyperlink>
        </w:p>
        <w:p w14:paraId="6C2E966E" w14:textId="41E3A45A" w:rsidR="008070E4" w:rsidRDefault="001E53F2">
          <w:pPr>
            <w:pStyle w:val="INNH3"/>
            <w:tabs>
              <w:tab w:val="left" w:pos="1320"/>
              <w:tab w:val="right" w:leader="dot" w:pos="9209"/>
            </w:tabs>
            <w:rPr>
              <w:rFonts w:asciiTheme="minorHAnsi" w:eastAsiaTheme="minorEastAsia" w:hAnsiTheme="minorHAnsi" w:cstheme="minorBidi"/>
              <w:noProof/>
              <w:szCs w:val="22"/>
              <w:lang w:val="nb-NO" w:eastAsia="nb-NO"/>
            </w:rPr>
          </w:pPr>
          <w:hyperlink w:anchor="_Toc115987976" w:history="1">
            <w:r w:rsidR="008070E4" w:rsidRPr="00D4728A">
              <w:rPr>
                <w:rStyle w:val="Hyperkobling"/>
                <w:noProof/>
                <w:lang w:val="en-US"/>
              </w:rPr>
              <w:t>7.1.2</w:t>
            </w:r>
            <w:r w:rsidR="008070E4">
              <w:rPr>
                <w:rFonts w:asciiTheme="minorHAnsi" w:eastAsiaTheme="minorEastAsia" w:hAnsiTheme="minorHAnsi" w:cstheme="minorBidi"/>
                <w:noProof/>
                <w:szCs w:val="22"/>
                <w:lang w:val="nb-NO" w:eastAsia="nb-NO"/>
              </w:rPr>
              <w:tab/>
            </w:r>
            <w:r w:rsidR="008070E4" w:rsidRPr="00D4728A">
              <w:rPr>
                <w:rStyle w:val="Hyperkobling"/>
                <w:noProof/>
                <w:lang w:val="en-US"/>
              </w:rPr>
              <w:t>Energy Calibration</w:t>
            </w:r>
            <w:r w:rsidR="008070E4">
              <w:rPr>
                <w:noProof/>
                <w:webHidden/>
              </w:rPr>
              <w:tab/>
            </w:r>
            <w:r w:rsidR="008070E4">
              <w:rPr>
                <w:noProof/>
                <w:webHidden/>
              </w:rPr>
              <w:fldChar w:fldCharType="begin"/>
            </w:r>
            <w:r w:rsidR="008070E4">
              <w:rPr>
                <w:noProof/>
                <w:webHidden/>
              </w:rPr>
              <w:instrText xml:space="preserve"> PAGEREF _Toc115987976 \h </w:instrText>
            </w:r>
            <w:r w:rsidR="008070E4">
              <w:rPr>
                <w:noProof/>
                <w:webHidden/>
              </w:rPr>
            </w:r>
            <w:r w:rsidR="008070E4">
              <w:rPr>
                <w:noProof/>
                <w:webHidden/>
              </w:rPr>
              <w:fldChar w:fldCharType="separate"/>
            </w:r>
            <w:r w:rsidR="008070E4">
              <w:rPr>
                <w:noProof/>
                <w:webHidden/>
              </w:rPr>
              <w:t>5</w:t>
            </w:r>
            <w:r w:rsidR="008070E4">
              <w:rPr>
                <w:noProof/>
                <w:webHidden/>
              </w:rPr>
              <w:fldChar w:fldCharType="end"/>
            </w:r>
          </w:hyperlink>
        </w:p>
        <w:p w14:paraId="524DF19F" w14:textId="01FED5B3" w:rsidR="008070E4" w:rsidRDefault="001E53F2">
          <w:pPr>
            <w:pStyle w:val="INNH3"/>
            <w:tabs>
              <w:tab w:val="left" w:pos="1320"/>
              <w:tab w:val="right" w:leader="dot" w:pos="9209"/>
            </w:tabs>
            <w:rPr>
              <w:rFonts w:asciiTheme="minorHAnsi" w:eastAsiaTheme="minorEastAsia" w:hAnsiTheme="minorHAnsi" w:cstheme="minorBidi"/>
              <w:noProof/>
              <w:szCs w:val="22"/>
              <w:lang w:val="nb-NO" w:eastAsia="nb-NO"/>
            </w:rPr>
          </w:pPr>
          <w:hyperlink w:anchor="_Toc115987977" w:history="1">
            <w:r w:rsidR="008070E4" w:rsidRPr="00D4728A">
              <w:rPr>
                <w:rStyle w:val="Hyperkobling"/>
                <w:noProof/>
                <w:lang w:val="en-US"/>
              </w:rPr>
              <w:t>7.1.3</w:t>
            </w:r>
            <w:r w:rsidR="008070E4">
              <w:rPr>
                <w:rFonts w:asciiTheme="minorHAnsi" w:eastAsiaTheme="minorEastAsia" w:hAnsiTheme="minorHAnsi" w:cstheme="minorBidi"/>
                <w:noProof/>
                <w:szCs w:val="22"/>
                <w:lang w:val="nb-NO" w:eastAsia="nb-NO"/>
              </w:rPr>
              <w:tab/>
            </w:r>
            <w:r w:rsidR="008070E4" w:rsidRPr="00D4728A">
              <w:rPr>
                <w:rStyle w:val="Hyperkobling"/>
                <w:noProof/>
                <w:lang w:val="en-US"/>
              </w:rPr>
              <w:t>Spatial Calibration</w:t>
            </w:r>
            <w:r w:rsidR="008070E4">
              <w:rPr>
                <w:noProof/>
                <w:webHidden/>
              </w:rPr>
              <w:tab/>
            </w:r>
            <w:r w:rsidR="008070E4">
              <w:rPr>
                <w:noProof/>
                <w:webHidden/>
              </w:rPr>
              <w:fldChar w:fldCharType="begin"/>
            </w:r>
            <w:r w:rsidR="008070E4">
              <w:rPr>
                <w:noProof/>
                <w:webHidden/>
              </w:rPr>
              <w:instrText xml:space="preserve"> PAGEREF _Toc115987977 \h </w:instrText>
            </w:r>
            <w:r w:rsidR="008070E4">
              <w:rPr>
                <w:noProof/>
                <w:webHidden/>
              </w:rPr>
            </w:r>
            <w:r w:rsidR="008070E4">
              <w:rPr>
                <w:noProof/>
                <w:webHidden/>
              </w:rPr>
              <w:fldChar w:fldCharType="separate"/>
            </w:r>
            <w:r w:rsidR="008070E4">
              <w:rPr>
                <w:noProof/>
                <w:webHidden/>
              </w:rPr>
              <w:t>5</w:t>
            </w:r>
            <w:r w:rsidR="008070E4">
              <w:rPr>
                <w:noProof/>
                <w:webHidden/>
              </w:rPr>
              <w:fldChar w:fldCharType="end"/>
            </w:r>
          </w:hyperlink>
        </w:p>
        <w:p w14:paraId="133B3DC0" w14:textId="74883F1D" w:rsidR="008070E4" w:rsidRDefault="001E53F2">
          <w:pPr>
            <w:pStyle w:val="INNH2"/>
            <w:tabs>
              <w:tab w:val="left" w:pos="880"/>
              <w:tab w:val="right" w:leader="dot" w:pos="9209"/>
            </w:tabs>
            <w:rPr>
              <w:rFonts w:asciiTheme="minorHAnsi" w:eastAsiaTheme="minorEastAsia" w:hAnsiTheme="minorHAnsi" w:cstheme="minorBidi"/>
              <w:noProof/>
              <w:szCs w:val="22"/>
              <w:lang w:val="nb-NO" w:eastAsia="nb-NO"/>
            </w:rPr>
          </w:pPr>
          <w:hyperlink w:anchor="_Toc115987978" w:history="1">
            <w:r w:rsidR="008070E4" w:rsidRPr="00D4728A">
              <w:rPr>
                <w:rStyle w:val="Hyperkobling"/>
                <w:noProof/>
              </w:rPr>
              <w:t>7.2</w:t>
            </w:r>
            <w:r w:rsidR="008070E4">
              <w:rPr>
                <w:rFonts w:asciiTheme="minorHAnsi" w:eastAsiaTheme="minorEastAsia" w:hAnsiTheme="minorHAnsi" w:cstheme="minorBidi"/>
                <w:noProof/>
                <w:szCs w:val="22"/>
                <w:lang w:val="nb-NO" w:eastAsia="nb-NO"/>
              </w:rPr>
              <w:tab/>
            </w:r>
            <w:r w:rsidR="008070E4" w:rsidRPr="00D4728A">
              <w:rPr>
                <w:rStyle w:val="Hyperkobling"/>
                <w:noProof/>
              </w:rPr>
              <w:t>Qualitative Analysis</w:t>
            </w:r>
            <w:r w:rsidR="008070E4">
              <w:rPr>
                <w:noProof/>
                <w:webHidden/>
              </w:rPr>
              <w:tab/>
            </w:r>
            <w:r w:rsidR="008070E4">
              <w:rPr>
                <w:noProof/>
                <w:webHidden/>
              </w:rPr>
              <w:fldChar w:fldCharType="begin"/>
            </w:r>
            <w:r w:rsidR="008070E4">
              <w:rPr>
                <w:noProof/>
                <w:webHidden/>
              </w:rPr>
              <w:instrText xml:space="preserve"> PAGEREF _Toc115987978 \h </w:instrText>
            </w:r>
            <w:r w:rsidR="008070E4">
              <w:rPr>
                <w:noProof/>
                <w:webHidden/>
              </w:rPr>
            </w:r>
            <w:r w:rsidR="008070E4">
              <w:rPr>
                <w:noProof/>
                <w:webHidden/>
              </w:rPr>
              <w:fldChar w:fldCharType="separate"/>
            </w:r>
            <w:r w:rsidR="008070E4">
              <w:rPr>
                <w:noProof/>
                <w:webHidden/>
              </w:rPr>
              <w:t>6</w:t>
            </w:r>
            <w:r w:rsidR="008070E4">
              <w:rPr>
                <w:noProof/>
                <w:webHidden/>
              </w:rPr>
              <w:fldChar w:fldCharType="end"/>
            </w:r>
          </w:hyperlink>
        </w:p>
        <w:p w14:paraId="62BCB22F" w14:textId="193F1C34" w:rsidR="008070E4" w:rsidRDefault="001E53F2">
          <w:pPr>
            <w:pStyle w:val="INNH3"/>
            <w:tabs>
              <w:tab w:val="left" w:pos="1320"/>
              <w:tab w:val="right" w:leader="dot" w:pos="9209"/>
            </w:tabs>
            <w:rPr>
              <w:rFonts w:asciiTheme="minorHAnsi" w:eastAsiaTheme="minorEastAsia" w:hAnsiTheme="minorHAnsi" w:cstheme="minorBidi"/>
              <w:noProof/>
              <w:szCs w:val="22"/>
              <w:lang w:val="nb-NO" w:eastAsia="nb-NO"/>
            </w:rPr>
          </w:pPr>
          <w:hyperlink w:anchor="_Toc115987979" w:history="1">
            <w:r w:rsidR="008070E4" w:rsidRPr="00D4728A">
              <w:rPr>
                <w:rStyle w:val="Hyperkobling"/>
                <w:noProof/>
              </w:rPr>
              <w:t>7.2.1</w:t>
            </w:r>
            <w:r w:rsidR="008070E4">
              <w:rPr>
                <w:rFonts w:asciiTheme="minorHAnsi" w:eastAsiaTheme="minorEastAsia" w:hAnsiTheme="minorHAnsi" w:cstheme="minorBidi"/>
                <w:noProof/>
                <w:szCs w:val="22"/>
                <w:lang w:val="nb-NO" w:eastAsia="nb-NO"/>
              </w:rPr>
              <w:tab/>
            </w:r>
            <w:r w:rsidR="008070E4" w:rsidRPr="00D4728A">
              <w:rPr>
                <w:rStyle w:val="Hyperkobling"/>
                <w:noProof/>
              </w:rPr>
              <w:t>Settings</w:t>
            </w:r>
            <w:r w:rsidR="008070E4">
              <w:rPr>
                <w:noProof/>
                <w:webHidden/>
              </w:rPr>
              <w:tab/>
            </w:r>
            <w:r w:rsidR="008070E4">
              <w:rPr>
                <w:noProof/>
                <w:webHidden/>
              </w:rPr>
              <w:fldChar w:fldCharType="begin"/>
            </w:r>
            <w:r w:rsidR="008070E4">
              <w:rPr>
                <w:noProof/>
                <w:webHidden/>
              </w:rPr>
              <w:instrText xml:space="preserve"> PAGEREF _Toc115987979 \h </w:instrText>
            </w:r>
            <w:r w:rsidR="008070E4">
              <w:rPr>
                <w:noProof/>
                <w:webHidden/>
              </w:rPr>
            </w:r>
            <w:r w:rsidR="008070E4">
              <w:rPr>
                <w:noProof/>
                <w:webHidden/>
              </w:rPr>
              <w:fldChar w:fldCharType="separate"/>
            </w:r>
            <w:r w:rsidR="008070E4">
              <w:rPr>
                <w:noProof/>
                <w:webHidden/>
              </w:rPr>
              <w:t>6</w:t>
            </w:r>
            <w:r w:rsidR="008070E4">
              <w:rPr>
                <w:noProof/>
                <w:webHidden/>
              </w:rPr>
              <w:fldChar w:fldCharType="end"/>
            </w:r>
          </w:hyperlink>
        </w:p>
        <w:p w14:paraId="7C0CA131" w14:textId="4D342A65" w:rsidR="008070E4" w:rsidRDefault="001E53F2">
          <w:pPr>
            <w:pStyle w:val="INNH3"/>
            <w:tabs>
              <w:tab w:val="left" w:pos="1320"/>
              <w:tab w:val="right" w:leader="dot" w:pos="9209"/>
            </w:tabs>
            <w:rPr>
              <w:rFonts w:asciiTheme="minorHAnsi" w:eastAsiaTheme="minorEastAsia" w:hAnsiTheme="minorHAnsi" w:cstheme="minorBidi"/>
              <w:noProof/>
              <w:szCs w:val="22"/>
              <w:lang w:val="nb-NO" w:eastAsia="nb-NO"/>
            </w:rPr>
          </w:pPr>
          <w:hyperlink w:anchor="_Toc115987980" w:history="1">
            <w:r w:rsidR="008070E4" w:rsidRPr="00D4728A">
              <w:rPr>
                <w:rStyle w:val="Hyperkobling"/>
                <w:noProof/>
                <w:lang w:val="en-US"/>
              </w:rPr>
              <w:t>7.2.2</w:t>
            </w:r>
            <w:r w:rsidR="008070E4">
              <w:rPr>
                <w:rFonts w:asciiTheme="minorHAnsi" w:eastAsiaTheme="minorEastAsia" w:hAnsiTheme="minorHAnsi" w:cstheme="minorBidi"/>
                <w:noProof/>
                <w:szCs w:val="22"/>
                <w:lang w:val="nb-NO" w:eastAsia="nb-NO"/>
              </w:rPr>
              <w:tab/>
            </w:r>
            <w:r w:rsidR="008070E4" w:rsidRPr="00D4728A">
              <w:rPr>
                <w:rStyle w:val="Hyperkobling"/>
                <w:noProof/>
                <w:lang w:val="en-US"/>
              </w:rPr>
              <w:t>Spectrum Acquisition</w:t>
            </w:r>
            <w:r w:rsidR="008070E4">
              <w:rPr>
                <w:noProof/>
                <w:webHidden/>
              </w:rPr>
              <w:tab/>
            </w:r>
            <w:r w:rsidR="008070E4">
              <w:rPr>
                <w:noProof/>
                <w:webHidden/>
              </w:rPr>
              <w:fldChar w:fldCharType="begin"/>
            </w:r>
            <w:r w:rsidR="008070E4">
              <w:rPr>
                <w:noProof/>
                <w:webHidden/>
              </w:rPr>
              <w:instrText xml:space="preserve"> PAGEREF _Toc115987980 \h </w:instrText>
            </w:r>
            <w:r w:rsidR="008070E4">
              <w:rPr>
                <w:noProof/>
                <w:webHidden/>
              </w:rPr>
            </w:r>
            <w:r w:rsidR="008070E4">
              <w:rPr>
                <w:noProof/>
                <w:webHidden/>
              </w:rPr>
              <w:fldChar w:fldCharType="separate"/>
            </w:r>
            <w:r w:rsidR="008070E4">
              <w:rPr>
                <w:noProof/>
                <w:webHidden/>
              </w:rPr>
              <w:t>6</w:t>
            </w:r>
            <w:r w:rsidR="008070E4">
              <w:rPr>
                <w:noProof/>
                <w:webHidden/>
              </w:rPr>
              <w:fldChar w:fldCharType="end"/>
            </w:r>
          </w:hyperlink>
        </w:p>
        <w:p w14:paraId="0B90D921" w14:textId="120120B6" w:rsidR="008070E4" w:rsidRDefault="001E53F2">
          <w:pPr>
            <w:pStyle w:val="INNH3"/>
            <w:tabs>
              <w:tab w:val="left" w:pos="1320"/>
              <w:tab w:val="right" w:leader="dot" w:pos="9209"/>
            </w:tabs>
            <w:rPr>
              <w:rFonts w:asciiTheme="minorHAnsi" w:eastAsiaTheme="minorEastAsia" w:hAnsiTheme="minorHAnsi" w:cstheme="minorBidi"/>
              <w:noProof/>
              <w:szCs w:val="22"/>
              <w:lang w:val="nb-NO" w:eastAsia="nb-NO"/>
            </w:rPr>
          </w:pPr>
          <w:hyperlink w:anchor="_Toc115987981" w:history="1">
            <w:r w:rsidR="008070E4" w:rsidRPr="00D4728A">
              <w:rPr>
                <w:rStyle w:val="Hyperkobling"/>
                <w:noProof/>
              </w:rPr>
              <w:t>7.2.3</w:t>
            </w:r>
            <w:r w:rsidR="008070E4">
              <w:rPr>
                <w:rFonts w:asciiTheme="minorHAnsi" w:eastAsiaTheme="minorEastAsia" w:hAnsiTheme="minorHAnsi" w:cstheme="minorBidi"/>
                <w:noProof/>
                <w:szCs w:val="22"/>
                <w:lang w:val="nb-NO" w:eastAsia="nb-NO"/>
              </w:rPr>
              <w:tab/>
            </w:r>
            <w:r w:rsidR="008070E4" w:rsidRPr="00D4728A">
              <w:rPr>
                <w:rStyle w:val="Hyperkobling"/>
                <w:noProof/>
              </w:rPr>
              <w:t>Identification Procedure</w:t>
            </w:r>
            <w:r w:rsidR="008070E4">
              <w:rPr>
                <w:noProof/>
                <w:webHidden/>
              </w:rPr>
              <w:tab/>
            </w:r>
            <w:r w:rsidR="008070E4">
              <w:rPr>
                <w:noProof/>
                <w:webHidden/>
              </w:rPr>
              <w:fldChar w:fldCharType="begin"/>
            </w:r>
            <w:r w:rsidR="008070E4">
              <w:rPr>
                <w:noProof/>
                <w:webHidden/>
              </w:rPr>
              <w:instrText xml:space="preserve"> PAGEREF _Toc115987981 \h </w:instrText>
            </w:r>
            <w:r w:rsidR="008070E4">
              <w:rPr>
                <w:noProof/>
                <w:webHidden/>
              </w:rPr>
            </w:r>
            <w:r w:rsidR="008070E4">
              <w:rPr>
                <w:noProof/>
                <w:webHidden/>
              </w:rPr>
              <w:fldChar w:fldCharType="separate"/>
            </w:r>
            <w:r w:rsidR="008070E4">
              <w:rPr>
                <w:noProof/>
                <w:webHidden/>
              </w:rPr>
              <w:t>6</w:t>
            </w:r>
            <w:r w:rsidR="008070E4">
              <w:rPr>
                <w:noProof/>
                <w:webHidden/>
              </w:rPr>
              <w:fldChar w:fldCharType="end"/>
            </w:r>
          </w:hyperlink>
        </w:p>
        <w:p w14:paraId="4EE67212" w14:textId="4101384B" w:rsidR="008070E4" w:rsidRDefault="001E53F2">
          <w:pPr>
            <w:pStyle w:val="INNH3"/>
            <w:tabs>
              <w:tab w:val="left" w:pos="1320"/>
              <w:tab w:val="right" w:leader="dot" w:pos="9209"/>
            </w:tabs>
            <w:rPr>
              <w:rFonts w:asciiTheme="minorHAnsi" w:eastAsiaTheme="minorEastAsia" w:hAnsiTheme="minorHAnsi" w:cstheme="minorBidi"/>
              <w:noProof/>
              <w:szCs w:val="22"/>
              <w:lang w:val="nb-NO" w:eastAsia="nb-NO"/>
            </w:rPr>
          </w:pPr>
          <w:hyperlink w:anchor="_Toc115987982" w:history="1">
            <w:r w:rsidR="008070E4" w:rsidRPr="00D4728A">
              <w:rPr>
                <w:rStyle w:val="Hyperkobling"/>
                <w:noProof/>
              </w:rPr>
              <w:t>7.2.4</w:t>
            </w:r>
            <w:r w:rsidR="008070E4">
              <w:rPr>
                <w:rFonts w:asciiTheme="minorHAnsi" w:eastAsiaTheme="minorEastAsia" w:hAnsiTheme="minorHAnsi" w:cstheme="minorBidi"/>
                <w:noProof/>
                <w:szCs w:val="22"/>
                <w:lang w:val="nb-NO" w:eastAsia="nb-NO"/>
              </w:rPr>
              <w:tab/>
            </w:r>
            <w:r w:rsidR="008070E4" w:rsidRPr="00D4728A">
              <w:rPr>
                <w:rStyle w:val="Hyperkobling"/>
                <w:noProof/>
              </w:rPr>
              <w:t>Escape and Sum/Coincidence Peaks</w:t>
            </w:r>
            <w:r w:rsidR="008070E4">
              <w:rPr>
                <w:noProof/>
                <w:webHidden/>
              </w:rPr>
              <w:tab/>
            </w:r>
            <w:r w:rsidR="008070E4">
              <w:rPr>
                <w:noProof/>
                <w:webHidden/>
              </w:rPr>
              <w:fldChar w:fldCharType="begin"/>
            </w:r>
            <w:r w:rsidR="008070E4">
              <w:rPr>
                <w:noProof/>
                <w:webHidden/>
              </w:rPr>
              <w:instrText xml:space="preserve"> PAGEREF _Toc115987982 \h </w:instrText>
            </w:r>
            <w:r w:rsidR="008070E4">
              <w:rPr>
                <w:noProof/>
                <w:webHidden/>
              </w:rPr>
            </w:r>
            <w:r w:rsidR="008070E4">
              <w:rPr>
                <w:noProof/>
                <w:webHidden/>
              </w:rPr>
              <w:fldChar w:fldCharType="separate"/>
            </w:r>
            <w:r w:rsidR="008070E4">
              <w:rPr>
                <w:noProof/>
                <w:webHidden/>
              </w:rPr>
              <w:t>7</w:t>
            </w:r>
            <w:r w:rsidR="008070E4">
              <w:rPr>
                <w:noProof/>
                <w:webHidden/>
              </w:rPr>
              <w:fldChar w:fldCharType="end"/>
            </w:r>
          </w:hyperlink>
        </w:p>
        <w:p w14:paraId="79B30762" w14:textId="3ECF4D6E" w:rsidR="008070E4" w:rsidRDefault="001E53F2">
          <w:pPr>
            <w:pStyle w:val="INNH2"/>
            <w:tabs>
              <w:tab w:val="left" w:pos="880"/>
              <w:tab w:val="right" w:leader="dot" w:pos="9209"/>
            </w:tabs>
            <w:rPr>
              <w:rFonts w:asciiTheme="minorHAnsi" w:eastAsiaTheme="minorEastAsia" w:hAnsiTheme="minorHAnsi" w:cstheme="minorBidi"/>
              <w:noProof/>
              <w:szCs w:val="22"/>
              <w:lang w:val="nb-NO" w:eastAsia="nb-NO"/>
            </w:rPr>
          </w:pPr>
          <w:hyperlink w:anchor="_Toc115987983" w:history="1">
            <w:r w:rsidR="008070E4" w:rsidRPr="00D4728A">
              <w:rPr>
                <w:rStyle w:val="Hyperkobling"/>
                <w:noProof/>
              </w:rPr>
              <w:t>7.3</w:t>
            </w:r>
            <w:r w:rsidR="008070E4">
              <w:rPr>
                <w:rFonts w:asciiTheme="minorHAnsi" w:eastAsiaTheme="minorEastAsia" w:hAnsiTheme="minorHAnsi" w:cstheme="minorBidi"/>
                <w:noProof/>
                <w:szCs w:val="22"/>
                <w:lang w:val="nb-NO" w:eastAsia="nb-NO"/>
              </w:rPr>
              <w:tab/>
            </w:r>
            <w:r w:rsidR="008070E4" w:rsidRPr="00D4728A">
              <w:rPr>
                <w:rStyle w:val="Hyperkobling"/>
                <w:noProof/>
              </w:rPr>
              <w:t>Comparative glass analysis</w:t>
            </w:r>
            <w:r w:rsidR="008070E4">
              <w:rPr>
                <w:noProof/>
                <w:webHidden/>
              </w:rPr>
              <w:tab/>
            </w:r>
            <w:r w:rsidR="008070E4">
              <w:rPr>
                <w:noProof/>
                <w:webHidden/>
              </w:rPr>
              <w:fldChar w:fldCharType="begin"/>
            </w:r>
            <w:r w:rsidR="008070E4">
              <w:rPr>
                <w:noProof/>
                <w:webHidden/>
              </w:rPr>
              <w:instrText xml:space="preserve"> PAGEREF _Toc115987983 \h </w:instrText>
            </w:r>
            <w:r w:rsidR="008070E4">
              <w:rPr>
                <w:noProof/>
                <w:webHidden/>
              </w:rPr>
            </w:r>
            <w:r w:rsidR="008070E4">
              <w:rPr>
                <w:noProof/>
                <w:webHidden/>
              </w:rPr>
              <w:fldChar w:fldCharType="separate"/>
            </w:r>
            <w:r w:rsidR="008070E4">
              <w:rPr>
                <w:noProof/>
                <w:webHidden/>
              </w:rPr>
              <w:t>8</w:t>
            </w:r>
            <w:r w:rsidR="008070E4">
              <w:rPr>
                <w:noProof/>
                <w:webHidden/>
              </w:rPr>
              <w:fldChar w:fldCharType="end"/>
            </w:r>
          </w:hyperlink>
        </w:p>
        <w:p w14:paraId="642F3B8D" w14:textId="20CB6C1A" w:rsidR="008070E4" w:rsidRDefault="001E53F2">
          <w:pPr>
            <w:pStyle w:val="INNH3"/>
            <w:tabs>
              <w:tab w:val="left" w:pos="1320"/>
              <w:tab w:val="right" w:leader="dot" w:pos="9209"/>
            </w:tabs>
            <w:rPr>
              <w:rFonts w:asciiTheme="minorHAnsi" w:eastAsiaTheme="minorEastAsia" w:hAnsiTheme="minorHAnsi" w:cstheme="minorBidi"/>
              <w:noProof/>
              <w:szCs w:val="22"/>
              <w:lang w:val="nb-NO" w:eastAsia="nb-NO"/>
            </w:rPr>
          </w:pPr>
          <w:hyperlink w:anchor="_Toc115987984" w:history="1">
            <w:r w:rsidR="008070E4" w:rsidRPr="00D4728A">
              <w:rPr>
                <w:rStyle w:val="Hyperkobling"/>
                <w:noProof/>
              </w:rPr>
              <w:t>7.3.1</w:t>
            </w:r>
            <w:r w:rsidR="008070E4">
              <w:rPr>
                <w:rFonts w:asciiTheme="minorHAnsi" w:eastAsiaTheme="minorEastAsia" w:hAnsiTheme="minorHAnsi" w:cstheme="minorBidi"/>
                <w:noProof/>
                <w:szCs w:val="22"/>
                <w:lang w:val="nb-NO" w:eastAsia="nb-NO"/>
              </w:rPr>
              <w:tab/>
            </w:r>
            <w:r w:rsidR="008070E4" w:rsidRPr="00D4728A">
              <w:rPr>
                <w:rStyle w:val="Hyperkobling"/>
                <w:noProof/>
              </w:rPr>
              <w:t>Qualitative glass comparison</w:t>
            </w:r>
            <w:r w:rsidR="008070E4">
              <w:rPr>
                <w:noProof/>
                <w:webHidden/>
              </w:rPr>
              <w:tab/>
            </w:r>
            <w:r w:rsidR="008070E4">
              <w:rPr>
                <w:noProof/>
                <w:webHidden/>
              </w:rPr>
              <w:fldChar w:fldCharType="begin"/>
            </w:r>
            <w:r w:rsidR="008070E4">
              <w:rPr>
                <w:noProof/>
                <w:webHidden/>
              </w:rPr>
              <w:instrText xml:space="preserve"> PAGEREF _Toc115987984 \h </w:instrText>
            </w:r>
            <w:r w:rsidR="008070E4">
              <w:rPr>
                <w:noProof/>
                <w:webHidden/>
              </w:rPr>
            </w:r>
            <w:r w:rsidR="008070E4">
              <w:rPr>
                <w:noProof/>
                <w:webHidden/>
              </w:rPr>
              <w:fldChar w:fldCharType="separate"/>
            </w:r>
            <w:r w:rsidR="008070E4">
              <w:rPr>
                <w:noProof/>
                <w:webHidden/>
              </w:rPr>
              <w:t>8</w:t>
            </w:r>
            <w:r w:rsidR="008070E4">
              <w:rPr>
                <w:noProof/>
                <w:webHidden/>
              </w:rPr>
              <w:fldChar w:fldCharType="end"/>
            </w:r>
          </w:hyperlink>
        </w:p>
        <w:p w14:paraId="030C814B" w14:textId="6B2C7D08" w:rsidR="008070E4" w:rsidRDefault="001E53F2">
          <w:pPr>
            <w:pStyle w:val="INNH3"/>
            <w:tabs>
              <w:tab w:val="left" w:pos="1320"/>
              <w:tab w:val="right" w:leader="dot" w:pos="9209"/>
            </w:tabs>
            <w:rPr>
              <w:rFonts w:asciiTheme="minorHAnsi" w:eastAsiaTheme="minorEastAsia" w:hAnsiTheme="minorHAnsi" w:cstheme="minorBidi"/>
              <w:noProof/>
              <w:szCs w:val="22"/>
              <w:lang w:val="nb-NO" w:eastAsia="nb-NO"/>
            </w:rPr>
          </w:pPr>
          <w:hyperlink w:anchor="_Toc115987985" w:history="1">
            <w:r w:rsidR="008070E4" w:rsidRPr="00D4728A">
              <w:rPr>
                <w:rStyle w:val="Hyperkobling"/>
                <w:noProof/>
              </w:rPr>
              <w:t>7.3.2</w:t>
            </w:r>
            <w:r w:rsidR="008070E4">
              <w:rPr>
                <w:rFonts w:asciiTheme="minorHAnsi" w:eastAsiaTheme="minorEastAsia" w:hAnsiTheme="minorHAnsi" w:cstheme="minorBidi"/>
                <w:noProof/>
                <w:szCs w:val="22"/>
                <w:lang w:val="nb-NO" w:eastAsia="nb-NO"/>
              </w:rPr>
              <w:tab/>
            </w:r>
            <w:r w:rsidR="008070E4" w:rsidRPr="00D4728A">
              <w:rPr>
                <w:rStyle w:val="Hyperkobling"/>
                <w:noProof/>
              </w:rPr>
              <w:t>Semi-quantitative glass comparison</w:t>
            </w:r>
            <w:r w:rsidR="008070E4">
              <w:rPr>
                <w:noProof/>
                <w:webHidden/>
              </w:rPr>
              <w:tab/>
            </w:r>
            <w:r w:rsidR="008070E4">
              <w:rPr>
                <w:noProof/>
                <w:webHidden/>
              </w:rPr>
              <w:fldChar w:fldCharType="begin"/>
            </w:r>
            <w:r w:rsidR="008070E4">
              <w:rPr>
                <w:noProof/>
                <w:webHidden/>
              </w:rPr>
              <w:instrText xml:space="preserve"> PAGEREF _Toc115987985 \h </w:instrText>
            </w:r>
            <w:r w:rsidR="008070E4">
              <w:rPr>
                <w:noProof/>
                <w:webHidden/>
              </w:rPr>
            </w:r>
            <w:r w:rsidR="008070E4">
              <w:rPr>
                <w:noProof/>
                <w:webHidden/>
              </w:rPr>
              <w:fldChar w:fldCharType="separate"/>
            </w:r>
            <w:r w:rsidR="008070E4">
              <w:rPr>
                <w:noProof/>
                <w:webHidden/>
              </w:rPr>
              <w:t>8</w:t>
            </w:r>
            <w:r w:rsidR="008070E4">
              <w:rPr>
                <w:noProof/>
                <w:webHidden/>
              </w:rPr>
              <w:fldChar w:fldCharType="end"/>
            </w:r>
          </w:hyperlink>
        </w:p>
        <w:p w14:paraId="11C8D165" w14:textId="4895F770" w:rsidR="008070E4" w:rsidRDefault="001E53F2">
          <w:pPr>
            <w:pStyle w:val="INNH1"/>
            <w:rPr>
              <w:rFonts w:asciiTheme="minorHAnsi" w:eastAsiaTheme="minorEastAsia" w:hAnsiTheme="minorHAnsi" w:cstheme="minorBidi"/>
              <w:noProof/>
              <w:szCs w:val="22"/>
              <w:lang w:val="nb-NO" w:eastAsia="nb-NO"/>
            </w:rPr>
          </w:pPr>
          <w:hyperlink w:anchor="_Toc115987986" w:history="1">
            <w:r w:rsidR="008070E4" w:rsidRPr="00D4728A">
              <w:rPr>
                <w:rStyle w:val="Hyperkobling"/>
                <w:noProof/>
              </w:rPr>
              <w:t>8</w:t>
            </w:r>
            <w:r w:rsidR="008070E4">
              <w:rPr>
                <w:rFonts w:asciiTheme="minorHAnsi" w:eastAsiaTheme="minorEastAsia" w:hAnsiTheme="minorHAnsi" w:cstheme="minorBidi"/>
                <w:noProof/>
                <w:szCs w:val="22"/>
                <w:lang w:val="nb-NO" w:eastAsia="nb-NO"/>
              </w:rPr>
              <w:tab/>
            </w:r>
            <w:r w:rsidR="008070E4" w:rsidRPr="00D4728A">
              <w:rPr>
                <w:rStyle w:val="Hyperkobling"/>
                <w:noProof/>
              </w:rPr>
              <w:t>References</w:t>
            </w:r>
            <w:r w:rsidR="008070E4">
              <w:rPr>
                <w:noProof/>
                <w:webHidden/>
              </w:rPr>
              <w:tab/>
            </w:r>
            <w:r w:rsidR="008070E4">
              <w:rPr>
                <w:noProof/>
                <w:webHidden/>
              </w:rPr>
              <w:fldChar w:fldCharType="begin"/>
            </w:r>
            <w:r w:rsidR="008070E4">
              <w:rPr>
                <w:noProof/>
                <w:webHidden/>
              </w:rPr>
              <w:instrText xml:space="preserve"> PAGEREF _Toc115987986 \h </w:instrText>
            </w:r>
            <w:r w:rsidR="008070E4">
              <w:rPr>
                <w:noProof/>
                <w:webHidden/>
              </w:rPr>
            </w:r>
            <w:r w:rsidR="008070E4">
              <w:rPr>
                <w:noProof/>
                <w:webHidden/>
              </w:rPr>
              <w:fldChar w:fldCharType="separate"/>
            </w:r>
            <w:r w:rsidR="008070E4">
              <w:rPr>
                <w:noProof/>
                <w:webHidden/>
              </w:rPr>
              <w:t>9</w:t>
            </w:r>
            <w:r w:rsidR="008070E4">
              <w:rPr>
                <w:noProof/>
                <w:webHidden/>
              </w:rPr>
              <w:fldChar w:fldCharType="end"/>
            </w:r>
          </w:hyperlink>
        </w:p>
        <w:p w14:paraId="6015DD8B" w14:textId="59B46E15" w:rsidR="008070E4" w:rsidRDefault="001E53F2">
          <w:pPr>
            <w:pStyle w:val="INNH1"/>
            <w:rPr>
              <w:rFonts w:asciiTheme="minorHAnsi" w:eastAsiaTheme="minorEastAsia" w:hAnsiTheme="minorHAnsi" w:cstheme="minorBidi"/>
              <w:noProof/>
              <w:szCs w:val="22"/>
              <w:lang w:val="nb-NO" w:eastAsia="nb-NO"/>
            </w:rPr>
          </w:pPr>
          <w:hyperlink w:anchor="_Toc115987987" w:history="1">
            <w:r w:rsidR="008070E4" w:rsidRPr="00D4728A">
              <w:rPr>
                <w:rStyle w:val="Hyperkobling"/>
                <w:noProof/>
              </w:rPr>
              <w:t>9</w:t>
            </w:r>
            <w:r w:rsidR="008070E4">
              <w:rPr>
                <w:rFonts w:asciiTheme="minorHAnsi" w:eastAsiaTheme="minorEastAsia" w:hAnsiTheme="minorHAnsi" w:cstheme="minorBidi"/>
                <w:noProof/>
                <w:szCs w:val="22"/>
                <w:lang w:val="nb-NO" w:eastAsia="nb-NO"/>
              </w:rPr>
              <w:tab/>
            </w:r>
            <w:r w:rsidR="008070E4" w:rsidRPr="00D4728A">
              <w:rPr>
                <w:rStyle w:val="Hyperkobling"/>
                <w:noProof/>
              </w:rPr>
              <w:t>Amendments Against Previous Versions</w:t>
            </w:r>
            <w:r w:rsidR="008070E4">
              <w:rPr>
                <w:noProof/>
                <w:webHidden/>
              </w:rPr>
              <w:tab/>
            </w:r>
            <w:r w:rsidR="008070E4">
              <w:rPr>
                <w:noProof/>
                <w:webHidden/>
              </w:rPr>
              <w:fldChar w:fldCharType="begin"/>
            </w:r>
            <w:r w:rsidR="008070E4">
              <w:rPr>
                <w:noProof/>
                <w:webHidden/>
              </w:rPr>
              <w:instrText xml:space="preserve"> PAGEREF _Toc115987987 \h </w:instrText>
            </w:r>
            <w:r w:rsidR="008070E4">
              <w:rPr>
                <w:noProof/>
                <w:webHidden/>
              </w:rPr>
            </w:r>
            <w:r w:rsidR="008070E4">
              <w:rPr>
                <w:noProof/>
                <w:webHidden/>
              </w:rPr>
              <w:fldChar w:fldCharType="separate"/>
            </w:r>
            <w:r w:rsidR="008070E4">
              <w:rPr>
                <w:noProof/>
                <w:webHidden/>
              </w:rPr>
              <w:t>9</w:t>
            </w:r>
            <w:r w:rsidR="008070E4">
              <w:rPr>
                <w:noProof/>
                <w:webHidden/>
              </w:rPr>
              <w:fldChar w:fldCharType="end"/>
            </w:r>
          </w:hyperlink>
        </w:p>
        <w:p w14:paraId="0D0B940D" w14:textId="62B54CF6" w:rsidR="008070E4" w:rsidRDefault="00FC104E">
          <w:pPr>
            <w:pStyle w:val="Overskrift1"/>
            <w:numPr>
              <w:ilvl w:val="0"/>
              <w:numId w:val="0"/>
            </w:numPr>
            <w:ind w:left="720" w:hanging="720"/>
          </w:pPr>
          <w:r>
            <w:rPr>
              <w:b w:val="0"/>
              <w:bCs/>
            </w:rPr>
            <w:fldChar w:fldCharType="end"/>
          </w:r>
        </w:p>
      </w:sdtContent>
    </w:sdt>
    <w:p w14:paraId="01A05D42" w14:textId="77777777" w:rsidR="008070E4" w:rsidRDefault="008070E4">
      <w:pPr>
        <w:jc w:val="left"/>
        <w:rPr>
          <w:b/>
          <w:caps/>
          <w:sz w:val="24"/>
        </w:rPr>
      </w:pPr>
      <w:r>
        <w:br w:type="page"/>
      </w:r>
    </w:p>
    <w:p w14:paraId="2EAC5BF0" w14:textId="77777777" w:rsidR="002173D0" w:rsidRDefault="002173D0">
      <w:pPr>
        <w:pStyle w:val="Overskrift1"/>
        <w:numPr>
          <w:ilvl w:val="0"/>
          <w:numId w:val="0"/>
        </w:numPr>
        <w:ind w:left="720" w:hanging="720"/>
        <w:rPr>
          <w:b w:val="0"/>
          <w:bCs/>
        </w:rPr>
      </w:pPr>
    </w:p>
    <w:p w14:paraId="57255E15" w14:textId="77777777" w:rsidR="002173D0" w:rsidRDefault="00FC104E">
      <w:pPr>
        <w:pStyle w:val="Overskrift1"/>
        <w:numPr>
          <w:ilvl w:val="0"/>
          <w:numId w:val="2"/>
        </w:numPr>
      </w:pPr>
      <w:bookmarkStart w:id="2" w:name="_Toc115987962"/>
      <w:r>
        <w:t>Aims</w:t>
      </w:r>
      <w:bookmarkEnd w:id="2"/>
    </w:p>
    <w:p w14:paraId="05F8B67F" w14:textId="4895C193" w:rsidR="002173D0" w:rsidRDefault="0E499C0C">
      <w:pPr>
        <w:pStyle w:val="Brdtekst"/>
      </w:pPr>
      <w:r>
        <w:t>This document</w:t>
      </w:r>
      <w:r w:rsidR="008070E4">
        <w:t xml:space="preserve"> </w:t>
      </w:r>
      <w:r>
        <w:t xml:space="preserve"> describes</w:t>
      </w:r>
      <w:r w:rsidR="008070E4">
        <w:t xml:space="preserve"> use of</w:t>
      </w:r>
      <w:r>
        <w:t xml:space="preserve"> </w:t>
      </w:r>
      <w:r w:rsidR="008070E4" w:rsidRPr="008070E4">
        <w:rPr>
          <w:rStyle w:val="Accentuation"/>
          <w:rFonts w:cs="Arial"/>
          <w:szCs w:val="22"/>
        </w:rPr>
        <w:t>Micro X-ray Fluorescence Spectroscopy of Glass Samples in Forensic Science</w:t>
      </w:r>
      <w:r>
        <w:t>.</w:t>
      </w:r>
    </w:p>
    <w:p w14:paraId="56DABE0D" w14:textId="77777777" w:rsidR="002173D0" w:rsidRDefault="00FC104E">
      <w:pPr>
        <w:pStyle w:val="Overskrift1"/>
        <w:numPr>
          <w:ilvl w:val="0"/>
          <w:numId w:val="2"/>
        </w:numPr>
      </w:pPr>
      <w:bookmarkStart w:id="3" w:name="_Toc115987963"/>
      <w:r>
        <w:t>Scope</w:t>
      </w:r>
      <w:bookmarkEnd w:id="3"/>
    </w:p>
    <w:p w14:paraId="52077CEA" w14:textId="6F0D7210" w:rsidR="002173D0" w:rsidRDefault="00FC104E">
      <w:pPr>
        <w:pStyle w:val="Brdtekst"/>
      </w:pPr>
      <w:r>
        <w:t>By application of the procedure described herein</w:t>
      </w:r>
      <w:r w:rsidR="00980788">
        <w:t>,</w:t>
      </w:r>
      <w:r>
        <w:t xml:space="preserve"> a qualitative and semi-quantitative analysis of major, minor and</w:t>
      </w:r>
      <w:r w:rsidR="00A71103">
        <w:t xml:space="preserve"> </w:t>
      </w:r>
      <w:r w:rsidR="00980788">
        <w:t xml:space="preserve">partial </w:t>
      </w:r>
      <w:r>
        <w:t>trace elements of forensic glass samples can be obtained. It can be used for comparative glass analysis in</w:t>
      </w:r>
      <w:r w:rsidR="00A71103">
        <w:t xml:space="preserve"> </w:t>
      </w:r>
      <w:r>
        <w:t>casework.</w:t>
      </w:r>
    </w:p>
    <w:p w14:paraId="10160F36" w14:textId="77777777" w:rsidR="002173D0" w:rsidRDefault="00FC104E">
      <w:pPr>
        <w:pStyle w:val="Overskrift1"/>
        <w:numPr>
          <w:ilvl w:val="0"/>
          <w:numId w:val="2"/>
        </w:numPr>
      </w:pPr>
      <w:bookmarkStart w:id="4" w:name="_Toc115987964"/>
      <w:r>
        <w:t>Definitions and Terms</w:t>
      </w:r>
      <w:bookmarkEnd w:id="4"/>
    </w:p>
    <w:p w14:paraId="0E27B00A" w14:textId="77777777" w:rsidR="002173D0" w:rsidRDefault="002173D0">
      <w:pPr>
        <w:rPr>
          <w:rFonts w:cs="Arial"/>
          <w:szCs w:val="22"/>
        </w:rPr>
      </w:pPr>
    </w:p>
    <w:p w14:paraId="3E7A9F1C" w14:textId="77777777" w:rsidR="002173D0" w:rsidRDefault="00FC104E">
      <w:pPr>
        <w:pStyle w:val="Overskrift1"/>
        <w:numPr>
          <w:ilvl w:val="0"/>
          <w:numId w:val="2"/>
        </w:numPr>
      </w:pPr>
      <w:bookmarkStart w:id="5" w:name="_Toc115987965"/>
      <w:r>
        <w:t>Introduction</w:t>
      </w:r>
      <w:bookmarkEnd w:id="5"/>
    </w:p>
    <w:p w14:paraId="6CD54828" w14:textId="191C3154" w:rsidR="002173D0" w:rsidRDefault="00FC104E">
      <w:pPr>
        <w:pStyle w:val="Brdtekst"/>
      </w:pPr>
      <w:r>
        <w:t>X-ray fluorescence spectroscopy (XRF) is a</w:t>
      </w:r>
      <w:r w:rsidR="00980788">
        <w:t>n instrumental</w:t>
      </w:r>
      <w:r>
        <w:t xml:space="preserve"> technique for elemental analysis. When a sample is hit by an incident X-ray beam, its electrons are excited and emit X-ray photons characteristic </w:t>
      </w:r>
      <w:r w:rsidR="00980788">
        <w:t>of</w:t>
      </w:r>
      <w:r>
        <w:t xml:space="preserve"> the excited atom species that </w:t>
      </w:r>
      <w:r w:rsidR="00980788">
        <w:t>comprises the sample</w:t>
      </w:r>
      <w:r>
        <w:t xml:space="preserve">. With modern XRF instruments it is possible to detect </w:t>
      </w:r>
      <w:r w:rsidR="00980788">
        <w:t xml:space="preserve">the </w:t>
      </w:r>
      <w:r>
        <w:t>characteristic radiation of elements from Z = 11 (Na) to Z = 92 (U)</w:t>
      </w:r>
      <w:r w:rsidR="00980788">
        <w:t>;</w:t>
      </w:r>
      <w:r>
        <w:t xml:space="preserve"> for certain elements</w:t>
      </w:r>
      <w:r w:rsidR="00980788">
        <w:t>,</w:t>
      </w:r>
      <w:r>
        <w:t xml:space="preserve"> under ideal conditions</w:t>
      </w:r>
      <w:r w:rsidR="00980788">
        <w:t>, can be detected at</w:t>
      </w:r>
      <w:r>
        <w:t xml:space="preserve"> several 10 ppm, if the measurement is done under vacuum.</w:t>
      </w:r>
    </w:p>
    <w:p w14:paraId="2FB1AEBC" w14:textId="4A5CC1E3" w:rsidR="002173D0" w:rsidRDefault="00FC104E">
      <w:pPr>
        <w:pStyle w:val="Brdtekst"/>
      </w:pPr>
      <w:r>
        <w:t xml:space="preserve">Two basic detection methods exist: The wavelength dispersive (WD-XRF) and the energy dispersive (ED-XRF) method. This document deals only with the ED-XRF method, </w:t>
      </w:r>
      <w:r w:rsidR="00980788">
        <w:t xml:space="preserve">in particular </w:t>
      </w:r>
      <w:r>
        <w:t>ED-XRF</w:t>
      </w:r>
      <w:r w:rsidR="00980788">
        <w:t xml:space="preserve"> equipped</w:t>
      </w:r>
      <w:r>
        <w:t xml:space="preserve"> for micro-beam excitation (µ-EDXRF or in short µ</w:t>
      </w:r>
      <w:r>
        <w:noBreakHyphen/>
        <w:t>XRF)</w:t>
      </w:r>
      <w:r w:rsidR="00980788">
        <w:t>,</w:t>
      </w:r>
      <w:r>
        <w:t xml:space="preserve"> which is </w:t>
      </w:r>
      <w:r w:rsidR="00980788">
        <w:t xml:space="preserve">the </w:t>
      </w:r>
      <w:r>
        <w:t>most suitable for forensic purposes.</w:t>
      </w:r>
    </w:p>
    <w:p w14:paraId="56E99378" w14:textId="4D93D1C0" w:rsidR="00EE260D" w:rsidRDefault="00FC104E">
      <w:pPr>
        <w:pStyle w:val="Brdtekst"/>
      </w:pPr>
      <w:r>
        <w:t>XRF is a fast and non-destructive technique that can provide qualitative and semi-quantitative information</w:t>
      </w:r>
      <w:r w:rsidR="00EA4F1D">
        <w:t xml:space="preserve"> about</w:t>
      </w:r>
      <w:r>
        <w:t xml:space="preserve"> the elemental composition of a sample.</w:t>
      </w:r>
      <w:r w:rsidR="00A71103">
        <w:t xml:space="preserve"> </w:t>
      </w:r>
      <w:r w:rsidR="00EA4F1D">
        <w:t>This</w:t>
      </w:r>
      <w:r>
        <w:t xml:space="preserve"> may be used together with the determination of the refractive index (RI) to compare questioned and known glass particles, when more sensitive methods such as laser ablation inductive coupled mass spectroscopy (LA-ICP/MS)</w:t>
      </w:r>
      <w:r w:rsidR="00EA4F1D">
        <w:t xml:space="preserve"> is</w:t>
      </w:r>
      <w:r>
        <w:t xml:space="preserve"> not</w:t>
      </w:r>
      <w:r w:rsidR="00EA4F1D">
        <w:t xml:space="preserve"> available</w:t>
      </w:r>
      <w:r>
        <w:t xml:space="preserve"> applicable</w:t>
      </w:r>
      <w:r w:rsidR="00EE260D">
        <w:t xml:space="preserve"> or available</w:t>
      </w:r>
      <w:r>
        <w:t>.</w:t>
      </w:r>
      <w:r w:rsidR="00EA4F1D">
        <w:t xml:space="preserve"> Notable</w:t>
      </w:r>
      <w:r>
        <w:t xml:space="preserve"> differences </w:t>
      </w:r>
      <w:r w:rsidR="00EA4F1D">
        <w:t>in</w:t>
      </w:r>
      <w:r>
        <w:t xml:space="preserve"> elemental composition between the compared samples</w:t>
      </w:r>
      <w:r w:rsidR="00EA4F1D">
        <w:t>,</w:t>
      </w:r>
      <w:r>
        <w:t xml:space="preserve"> by XRF analysis</w:t>
      </w:r>
      <w:r w:rsidR="00EA4F1D">
        <w:t>,</w:t>
      </w:r>
      <w:r>
        <w:t xml:space="preserve"> </w:t>
      </w:r>
      <w:r w:rsidR="00EA4F1D">
        <w:t xml:space="preserve">can </w:t>
      </w:r>
      <w:r>
        <w:t xml:space="preserve">provide significant evidence that the samples have a different origin. </w:t>
      </w:r>
    </w:p>
    <w:p w14:paraId="1A32D1EF" w14:textId="643AEB7D" w:rsidR="002173D0" w:rsidRDefault="00FC104E">
      <w:pPr>
        <w:pStyle w:val="Brdtekst"/>
      </w:pPr>
      <w:r>
        <w:t xml:space="preserve">XRF excitation is to some extent complementary to </w:t>
      </w:r>
      <w:r w:rsidR="00EA4F1D">
        <w:t xml:space="preserve">the </w:t>
      </w:r>
      <w:r>
        <w:t xml:space="preserve">electron excitation </w:t>
      </w:r>
      <w:r w:rsidR="00EA4F1D">
        <w:t>by Scanning Electron Microscopy with Energy Dispersive Spectroscopy</w:t>
      </w:r>
      <w:r w:rsidR="00902553">
        <w:t xml:space="preserve"> (SEM/EDS)</w:t>
      </w:r>
      <w:r w:rsidR="00EA4F1D">
        <w:t>,</w:t>
      </w:r>
      <w:r>
        <w:t xml:space="preserve"> in which the detection of light</w:t>
      </w:r>
      <w:r w:rsidR="00EA4F1D">
        <w:t>er</w:t>
      </w:r>
      <w:r>
        <w:t xml:space="preserve"> elements is enhanced. In contrast</w:t>
      </w:r>
      <w:r w:rsidR="00902553">
        <w:t xml:space="preserve"> </w:t>
      </w:r>
      <w:r w:rsidR="00EE260D">
        <w:t>however,</w:t>
      </w:r>
      <w:r w:rsidR="00902553">
        <w:t xml:space="preserve"> heavier</w:t>
      </w:r>
      <w:r>
        <w:t xml:space="preserve"> elements are better </w:t>
      </w:r>
      <w:r w:rsidR="00902553">
        <w:t>detected</w:t>
      </w:r>
      <w:r>
        <w:t xml:space="preserve"> by XRF</w:t>
      </w:r>
      <w:r w:rsidR="00902553">
        <w:t>,</w:t>
      </w:r>
      <w:r>
        <w:t xml:space="preserve"> due to the larger cross section</w:t>
      </w:r>
      <w:r w:rsidR="00EE260D">
        <w:t xml:space="preserve"> </w:t>
      </w:r>
      <w:r w:rsidR="00902553">
        <w:t>of photons produced.</w:t>
      </w:r>
      <w:r>
        <w:t xml:space="preserve"> While SEM/EDS is </w:t>
      </w:r>
      <w:r w:rsidR="00902553">
        <w:t xml:space="preserve">regarded as </w:t>
      </w:r>
      <w:r>
        <w:t>a surface sensitive method, the</w:t>
      </w:r>
      <w:r w:rsidR="00902553">
        <w:t xml:space="preserve"> X-rays penetrate deeper into the </w:t>
      </w:r>
      <w:r w:rsidR="00EE260D">
        <w:t>sample that</w:t>
      </w:r>
      <w:r w:rsidR="00FF763D">
        <w:t xml:space="preserve"> is the ‘information depth’ in XRF is larger </w:t>
      </w:r>
      <w:r w:rsidR="005377E7">
        <w:t>which</w:t>
      </w:r>
      <w:r>
        <w:t xml:space="preserve"> gives </w:t>
      </w:r>
      <w:r w:rsidR="00902553">
        <w:t xml:space="preserve">more </w:t>
      </w:r>
      <w:r>
        <w:t xml:space="preserve">information about the </w:t>
      </w:r>
      <w:r w:rsidR="00EE260D">
        <w:t>bulk composition</w:t>
      </w:r>
      <w:r>
        <w:t>.</w:t>
      </w:r>
    </w:p>
    <w:p w14:paraId="4D54A6B0" w14:textId="77777777" w:rsidR="002173D0" w:rsidRDefault="00FC104E">
      <w:pPr>
        <w:pStyle w:val="Overskrift1"/>
        <w:numPr>
          <w:ilvl w:val="0"/>
          <w:numId w:val="2"/>
        </w:numPr>
      </w:pPr>
      <w:bookmarkStart w:id="6" w:name="_Toc115987966"/>
      <w:r>
        <w:t>Methology</w:t>
      </w:r>
      <w:bookmarkEnd w:id="6"/>
    </w:p>
    <w:p w14:paraId="4A0C8E5D" w14:textId="4369136B" w:rsidR="002173D0" w:rsidRDefault="00FF763D">
      <w:pPr>
        <w:pStyle w:val="Overskrift2"/>
        <w:numPr>
          <w:ilvl w:val="1"/>
          <w:numId w:val="2"/>
        </w:numPr>
      </w:pPr>
      <w:r>
        <w:t xml:space="preserve"> </w:t>
      </w:r>
      <w:bookmarkStart w:id="7" w:name="_Toc115987967"/>
      <w:r>
        <w:t>Instrumentation</w:t>
      </w:r>
      <w:bookmarkEnd w:id="7"/>
    </w:p>
    <w:p w14:paraId="24C4E6F3" w14:textId="77777777" w:rsidR="002173D0" w:rsidRDefault="00FC104E">
      <w:pPr>
        <w:pStyle w:val="Brdtekst"/>
      </w:pPr>
      <w:r>
        <w:t>Modern µ-XRF apparatus consist of an X-ray tube, X-ray optics (mono-/polycapillary and/or collimators), a motorized stage to place the sample, a video (laser) positioning system, at least one energy-dispersive detector, a vacuum pump and a computer to operate the system and to process the data.</w:t>
      </w:r>
    </w:p>
    <w:p w14:paraId="4F2EE975" w14:textId="77777777" w:rsidR="002173D0" w:rsidRDefault="00FC104E">
      <w:pPr>
        <w:pStyle w:val="Brdtekst"/>
      </w:pPr>
      <w:r>
        <w:t xml:space="preserve">The exciting X-rays produced by the X-ray tube (usually Mo, Rh, Ag or W anode) are directed onto the sample using the capillary optics or collimators. The sample is mounted on a stage </w:t>
      </w:r>
      <w:r>
        <w:lastRenderedPageBreak/>
        <w:t>which can be moved in X, Y and Z directions. The video system provides an image enabling the operator to control the position of the sample, to bring the specimen to the correct height (focus) and choose the positions on the sample for spot measurements, line scans or an element mapping. Modern spectrometers are equipped with a SDD (</w:t>
      </w:r>
      <w:r>
        <w:rPr>
          <w:i/>
        </w:rPr>
        <w:t>Silicon Drift Detector</w:t>
      </w:r>
      <w:r>
        <w:t>), but instruments with a liquid N</w:t>
      </w:r>
      <w:r>
        <w:rPr>
          <w:vertAlign w:val="subscript"/>
        </w:rPr>
        <w:t>2</w:t>
      </w:r>
      <w:r>
        <w:t xml:space="preserve"> cooled Si(Li) detector still exist.</w:t>
      </w:r>
    </w:p>
    <w:p w14:paraId="1983CDCE" w14:textId="77777777" w:rsidR="002173D0" w:rsidRDefault="00FC104E">
      <w:pPr>
        <w:pStyle w:val="Brdtekst"/>
      </w:pPr>
      <w:r>
        <w:t>The whole process takes place at low gas pressure (in vacuo), which requires a pump system to evacuate the chamber. Optionally measurements can be performed in helium atmosphere requiring a helium gas supply. Measurements are possible in air, but the sensitivity for light elements (such as Na) is severely diminished.</w:t>
      </w:r>
    </w:p>
    <w:p w14:paraId="2BFBC3A2" w14:textId="77777777" w:rsidR="002173D0" w:rsidRDefault="00FC104E">
      <w:pPr>
        <w:pStyle w:val="Overskrift2"/>
        <w:numPr>
          <w:ilvl w:val="1"/>
          <w:numId w:val="2"/>
        </w:numPr>
      </w:pPr>
      <w:bookmarkStart w:id="8" w:name="_Toc115987968"/>
      <w:r>
        <w:t>Limitations</w:t>
      </w:r>
      <w:bookmarkEnd w:id="8"/>
    </w:p>
    <w:p w14:paraId="466A4C60" w14:textId="6E7F22BF" w:rsidR="002173D0" w:rsidRDefault="00FC104E">
      <w:pPr>
        <w:pStyle w:val="Brdtekst"/>
      </w:pPr>
      <w:r>
        <w:t xml:space="preserve">The information depth from which the excited, characteristic X-rays can emerge without being re-absorbed depends on the element </w:t>
      </w:r>
      <w:r w:rsidR="00FF763D">
        <w:t xml:space="preserve">under consideration </w:t>
      </w:r>
      <w:r>
        <w:t xml:space="preserve">as well as the glass composition and density. As can be seen in </w:t>
      </w:r>
      <w:r>
        <w:fldChar w:fldCharType="begin"/>
      </w:r>
      <w:r>
        <w:instrText>REF _Ref95463363 \h</w:instrText>
      </w:r>
      <w:r>
        <w:fldChar w:fldCharType="separate"/>
      </w:r>
      <w:r>
        <w:t>Figure 1</w:t>
      </w:r>
      <w:r>
        <w:fldChar w:fldCharType="end"/>
      </w:r>
      <w:r>
        <w:t xml:space="preserve"> the elemental </w:t>
      </w:r>
      <w:r w:rsidR="00FF763D">
        <w:t>‘</w:t>
      </w:r>
      <w:r>
        <w:t>information depth</w:t>
      </w:r>
      <w:r w:rsidR="00FF763D">
        <w:t>’</w:t>
      </w:r>
      <w:r>
        <w:t xml:space="preserve"> in glass matrix </w:t>
      </w:r>
      <w:r w:rsidR="00FF763D">
        <w:t xml:space="preserve">is </w:t>
      </w:r>
      <w:r>
        <w:t>about:</w:t>
      </w:r>
    </w:p>
    <w:p w14:paraId="3334F9FA" w14:textId="77777777" w:rsidR="002173D0" w:rsidRDefault="00FC104E">
      <w:pPr>
        <w:pStyle w:val="Listeavsnitt"/>
        <w:numPr>
          <w:ilvl w:val="0"/>
          <w:numId w:val="6"/>
        </w:numPr>
      </w:pPr>
      <w:r>
        <w:t>10 µm for light elements such as Si</w:t>
      </w:r>
    </w:p>
    <w:p w14:paraId="59D60B1B" w14:textId="77777777" w:rsidR="002173D0" w:rsidRDefault="00FC104E">
      <w:pPr>
        <w:pStyle w:val="Listeavsnitt"/>
        <w:numPr>
          <w:ilvl w:val="0"/>
          <w:numId w:val="6"/>
        </w:numPr>
      </w:pPr>
      <w:r>
        <w:t>100 µm for metals such as Fe or Zn</w:t>
      </w:r>
    </w:p>
    <w:p w14:paraId="3C99B1BC" w14:textId="77777777" w:rsidR="002173D0" w:rsidRDefault="00FC104E">
      <w:pPr>
        <w:pStyle w:val="Listeavsnitt"/>
        <w:numPr>
          <w:ilvl w:val="0"/>
          <w:numId w:val="6"/>
        </w:numPr>
      </w:pPr>
      <w:r>
        <w:t>1000 µm for heavy elements such as Cd, Sn or Ba</w:t>
      </w:r>
    </w:p>
    <w:tbl>
      <w:tblPr>
        <w:tblStyle w:val="Tabellrutenett"/>
        <w:tblW w:w="7371" w:type="dxa"/>
        <w:tblInd w:w="993" w:type="dxa"/>
        <w:tblLook w:val="04A0" w:firstRow="1" w:lastRow="0" w:firstColumn="1" w:lastColumn="0" w:noHBand="0" w:noVBand="1"/>
      </w:tblPr>
      <w:tblGrid>
        <w:gridCol w:w="7371"/>
      </w:tblGrid>
      <w:tr w:rsidR="002173D0" w14:paraId="60061E4C" w14:textId="77777777">
        <w:trPr>
          <w:trHeight w:val="3484"/>
        </w:trPr>
        <w:tc>
          <w:tcPr>
            <w:tcW w:w="7371" w:type="dxa"/>
            <w:tcBorders>
              <w:top w:val="nil"/>
              <w:left w:val="nil"/>
              <w:bottom w:val="nil"/>
              <w:right w:val="nil"/>
            </w:tcBorders>
            <w:shd w:val="clear" w:color="auto" w:fill="auto"/>
          </w:tcPr>
          <w:sdt>
            <w:sdtPr>
              <w:id w:val="871511472"/>
              <w:picture/>
            </w:sdtPr>
            <w:sdtEndPr/>
            <w:sdtContent>
              <w:p w14:paraId="44EAFD9C" w14:textId="77777777" w:rsidR="002173D0" w:rsidRDefault="00FC104E">
                <w:pPr>
                  <w:rPr>
                    <w:rFonts w:ascii="BundesSerif Office" w:eastAsia="BundesSerif Office" w:hAnsi="BundesSerif Office"/>
                  </w:rPr>
                </w:pPr>
                <w:r>
                  <w:rPr>
                    <w:rFonts w:ascii="BundesSerif Office" w:eastAsia="BundesSerif Office" w:hAnsi="BundesSerif Office"/>
                    <w:noProof/>
                  </w:rPr>
                  <w:drawing>
                    <wp:inline distT="0" distB="2540" distL="0" distR="0" wp14:anchorId="52B1024D" wp14:editId="07777777">
                      <wp:extent cx="4539615" cy="3558525"/>
                      <wp:effectExtent l="0" t="0" r="0" b="444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pic:cNvPicPr>
                                <a:picLocks noChangeAspect="1" noChangeArrowheads="1"/>
                              </pic:cNvPicPr>
                            </pic:nvPicPr>
                            <pic:blipFill>
                              <a:blip r:embed="rId12"/>
                              <a:stretch>
                                <a:fillRect/>
                              </a:stretch>
                            </pic:blipFill>
                            <pic:spPr bwMode="auto">
                              <a:xfrm>
                                <a:off x="0" y="0"/>
                                <a:ext cx="4539615" cy="3558525"/>
                              </a:xfrm>
                              <a:prstGeom prst="rect">
                                <a:avLst/>
                              </a:prstGeom>
                            </pic:spPr>
                          </pic:pic>
                        </a:graphicData>
                      </a:graphic>
                    </wp:inline>
                  </w:drawing>
                </w:r>
              </w:p>
            </w:sdtContent>
          </w:sdt>
        </w:tc>
      </w:tr>
      <w:tr w:rsidR="002173D0" w14:paraId="44D7897D" w14:textId="77777777">
        <w:trPr>
          <w:trHeight w:val="369"/>
        </w:trPr>
        <w:tc>
          <w:tcPr>
            <w:tcW w:w="7371" w:type="dxa"/>
            <w:tcBorders>
              <w:top w:val="nil"/>
              <w:left w:val="nil"/>
              <w:bottom w:val="nil"/>
              <w:right w:val="nil"/>
            </w:tcBorders>
            <w:shd w:val="clear" w:color="auto" w:fill="auto"/>
          </w:tcPr>
          <w:p w14:paraId="5F11CD30" w14:textId="77777777" w:rsidR="002173D0" w:rsidRPr="00EE260D" w:rsidRDefault="00FC104E">
            <w:pPr>
              <w:rPr>
                <w:rFonts w:cs="Arial"/>
                <w:i/>
                <w:sz w:val="18"/>
                <w:szCs w:val="18"/>
              </w:rPr>
            </w:pPr>
            <w:bookmarkStart w:id="9" w:name="_Ref95463363"/>
            <w:r w:rsidRPr="00EE260D">
              <w:rPr>
                <w:rFonts w:eastAsia="BundesSerif Office" w:cs="Arial"/>
              </w:rPr>
              <w:t xml:space="preserve">Figure </w:t>
            </w:r>
            <w:r w:rsidRPr="00EE260D">
              <w:rPr>
                <w:rFonts w:eastAsia="BundesSerif Office" w:cs="Arial"/>
              </w:rPr>
              <w:fldChar w:fldCharType="begin"/>
            </w:r>
            <w:r w:rsidRPr="00EE260D">
              <w:rPr>
                <w:rFonts w:eastAsia="BundesSerif Office" w:cs="Arial"/>
              </w:rPr>
              <w:instrText>SEQ Figure \* ARABIC</w:instrText>
            </w:r>
            <w:r w:rsidRPr="00EE260D">
              <w:rPr>
                <w:rFonts w:eastAsia="BundesSerif Office" w:cs="Arial"/>
              </w:rPr>
              <w:fldChar w:fldCharType="separate"/>
            </w:r>
            <w:r w:rsidRPr="00EE260D">
              <w:rPr>
                <w:rFonts w:eastAsia="BundesSerif Office" w:cs="Arial"/>
              </w:rPr>
              <w:t>1</w:t>
            </w:r>
            <w:r w:rsidRPr="00EE260D">
              <w:rPr>
                <w:rFonts w:eastAsia="BundesSerif Office" w:cs="Arial"/>
              </w:rPr>
              <w:fldChar w:fldCharType="end"/>
            </w:r>
            <w:bookmarkEnd w:id="9"/>
            <w:r w:rsidRPr="00EE260D">
              <w:rPr>
                <w:rFonts w:eastAsia="BundesSerif Office" w:cs="Arial"/>
              </w:rPr>
              <w:t>: Information depth of different elements in a NIST1412 glass matrix (calculated for 1 % residual intensity emerging from the bulk after absorption)</w:t>
            </w:r>
          </w:p>
        </w:tc>
      </w:tr>
    </w:tbl>
    <w:p w14:paraId="4B94D5A5" w14:textId="77777777" w:rsidR="002173D0" w:rsidRDefault="002173D0"/>
    <w:p w14:paraId="322B4671" w14:textId="274ECA6B" w:rsidR="002173D0" w:rsidRDefault="00FC104E">
      <w:pPr>
        <w:pStyle w:val="Brdtekst"/>
      </w:pPr>
      <w:r>
        <w:t>For modern glasses no bulk inhomogeneities are observed but surface effects</w:t>
      </w:r>
      <w:r w:rsidR="00FF763D">
        <w:t xml:space="preserve"> such</w:t>
      </w:r>
      <w:r>
        <w:t xml:space="preserve"> as the tin rich float side or a functional coating may contribute to the spectrum</w:t>
      </w:r>
      <w:r w:rsidR="00FF763D">
        <w:t>,</w:t>
      </w:r>
      <w:r>
        <w:t xml:space="preserve"> even from the beam </w:t>
      </w:r>
      <w:r w:rsidR="00FF763D">
        <w:t xml:space="preserve">being </w:t>
      </w:r>
      <w:r>
        <w:t xml:space="preserve">averted </w:t>
      </w:r>
      <w:r w:rsidR="00FF763D">
        <w:t xml:space="preserve">from the </w:t>
      </w:r>
      <w:r>
        <w:t>side of a particle</w:t>
      </w:r>
      <w:r w:rsidR="00A71103">
        <w:t xml:space="preserve"> </w:t>
      </w:r>
      <w:r w:rsidR="00FF763D">
        <w:t>when</w:t>
      </w:r>
      <w:r>
        <w:t xml:space="preserve"> the thickness is below 1 mm. </w:t>
      </w:r>
    </w:p>
    <w:p w14:paraId="20492EF7" w14:textId="77777777" w:rsidR="002173D0" w:rsidRDefault="00FC104E">
      <w:pPr>
        <w:pStyle w:val="Brdtekst"/>
      </w:pPr>
      <w:r>
        <w:t>Due to the excitation source the characteristic lines of the anode material appear in the spectra and potentially overlap with the peaks of the glass elements possibly obscuring minor or trace elements.</w:t>
      </w:r>
    </w:p>
    <w:p w14:paraId="689EA924" w14:textId="77777777" w:rsidR="002173D0" w:rsidRDefault="00FC104E">
      <w:pPr>
        <w:pStyle w:val="Overskrift1"/>
        <w:numPr>
          <w:ilvl w:val="0"/>
          <w:numId w:val="2"/>
        </w:numPr>
      </w:pPr>
      <w:bookmarkStart w:id="10" w:name="_Toc115987969"/>
      <w:r>
        <w:lastRenderedPageBreak/>
        <w:t>Sample Preparation</w:t>
      </w:r>
      <w:bookmarkEnd w:id="10"/>
    </w:p>
    <w:p w14:paraId="52CBF647" w14:textId="77777777" w:rsidR="002173D0" w:rsidRDefault="00FC104E">
      <w:pPr>
        <w:pStyle w:val="Overskrift2"/>
        <w:numPr>
          <w:ilvl w:val="1"/>
          <w:numId w:val="2"/>
        </w:numPr>
      </w:pPr>
      <w:bookmarkStart w:id="11" w:name="_Toc67474326"/>
      <w:bookmarkStart w:id="12" w:name="_Toc62738749"/>
      <w:bookmarkStart w:id="13" w:name="_Toc58495765"/>
      <w:bookmarkStart w:id="14" w:name="_Toc115987970"/>
      <w:r>
        <w:t>Cleaning</w:t>
      </w:r>
      <w:bookmarkEnd w:id="11"/>
      <w:bookmarkEnd w:id="12"/>
      <w:bookmarkEnd w:id="13"/>
      <w:bookmarkEnd w:id="14"/>
    </w:p>
    <w:p w14:paraId="29DEEC15" w14:textId="2588D802" w:rsidR="002173D0" w:rsidRDefault="00FC104E">
      <w:pPr>
        <w:pStyle w:val="Brdtekst"/>
      </w:pPr>
      <w:r>
        <w:t xml:space="preserve">Any foreign material present on the glass fragments should be removed </w:t>
      </w:r>
      <w:r w:rsidR="003E3DEE">
        <w:t>but can be retained and</w:t>
      </w:r>
      <w:r>
        <w:t xml:space="preserve"> analysed, if relevant. Dirt, salt or any other non-significant material can be carefully removed with a scalpel and by washing with a piece of tissue or a cotton swab </w:t>
      </w:r>
      <w:r w:rsidR="003E3DEE">
        <w:t xml:space="preserve">soaked </w:t>
      </w:r>
      <w:r>
        <w:t xml:space="preserve">with </w:t>
      </w:r>
      <w:r w:rsidR="003E3DEE">
        <w:t xml:space="preserve">either </w:t>
      </w:r>
      <w:r>
        <w:t>water, ethanol or any other suitable solvent. If necessary an ultrasonic bath can be used</w:t>
      </w:r>
      <w:r w:rsidR="003E3DEE">
        <w:t xml:space="preserve"> to agitate and remove more stubborn contaminants. </w:t>
      </w:r>
    </w:p>
    <w:p w14:paraId="1B265F6F" w14:textId="77777777" w:rsidR="002173D0" w:rsidRDefault="00FC104E">
      <w:pPr>
        <w:pStyle w:val="Overskrift2"/>
        <w:numPr>
          <w:ilvl w:val="1"/>
          <w:numId w:val="2"/>
        </w:numPr>
        <w:rPr>
          <w:lang w:val="en-GB"/>
        </w:rPr>
      </w:pPr>
      <w:bookmarkStart w:id="15" w:name="_Toc67474327"/>
      <w:bookmarkStart w:id="16" w:name="_Toc62738751"/>
      <w:bookmarkStart w:id="17" w:name="_Toc58495767"/>
      <w:bookmarkStart w:id="18" w:name="_Ref58315376"/>
      <w:bookmarkStart w:id="19" w:name="_Toc115987971"/>
      <w:r>
        <w:rPr>
          <w:lang w:val="en-GB"/>
        </w:rPr>
        <w:t>Embedding and Grinding/Polishing</w:t>
      </w:r>
      <w:bookmarkEnd w:id="15"/>
      <w:bookmarkEnd w:id="16"/>
      <w:bookmarkEnd w:id="17"/>
      <w:bookmarkEnd w:id="18"/>
      <w:bookmarkEnd w:id="19"/>
    </w:p>
    <w:p w14:paraId="63F679A4" w14:textId="69065F84" w:rsidR="002173D0" w:rsidRDefault="00FC104E">
      <w:pPr>
        <w:pStyle w:val="Brdtekst"/>
      </w:pPr>
      <w:r>
        <w:t>Glass samples of suitable size and thickness</w:t>
      </w:r>
      <w:r w:rsidR="00EE260D">
        <w:t xml:space="preserve"> </w:t>
      </w:r>
      <w:r>
        <w:t xml:space="preserve">may be </w:t>
      </w:r>
      <w:r w:rsidR="003E3DEE">
        <w:t>ground and/or polished</w:t>
      </w:r>
      <w:r>
        <w:t xml:space="preserve"> in order to achieve flat surfaces. Flat surfaces improve the accuracy and precision of XRF analyses. To enable grinding and polishing the surfaces of glass fragments, they can be embedded in a polymer matrix, such as a methacrylate resin. Commercially available light curing or chemically curing resins may </w:t>
      </w:r>
      <w:r w:rsidR="003E3DEE">
        <w:t xml:space="preserve">also </w:t>
      </w:r>
      <w:r>
        <w:t>be used.</w:t>
      </w:r>
    </w:p>
    <w:p w14:paraId="710A294E" w14:textId="77777777" w:rsidR="002173D0" w:rsidRDefault="00FC104E">
      <w:pPr>
        <w:pStyle w:val="Overskrift2"/>
        <w:numPr>
          <w:ilvl w:val="1"/>
          <w:numId w:val="2"/>
        </w:numPr>
      </w:pPr>
      <w:bookmarkStart w:id="20" w:name="_Toc115987972"/>
      <w:r>
        <w:t>Sample Fixation and Mounting</w:t>
      </w:r>
      <w:bookmarkEnd w:id="20"/>
    </w:p>
    <w:p w14:paraId="20CC7C79" w14:textId="4DD509E9" w:rsidR="002173D0" w:rsidRDefault="00FC104E">
      <w:pPr>
        <w:pStyle w:val="Brdtekst"/>
      </w:pPr>
      <w:r>
        <w:t xml:space="preserve">The sample is fixed on a sample </w:t>
      </w:r>
      <w:r w:rsidR="00EE260D">
        <w:t xml:space="preserve">holder </w:t>
      </w:r>
      <w:r>
        <w:t xml:space="preserve">without </w:t>
      </w:r>
      <w:r w:rsidRPr="00EE260D">
        <w:t>interfering elements</w:t>
      </w:r>
      <w:r>
        <w:t xml:space="preserve"> by an appropriate method, e.g. a polymer foil with an adhesive surface or playdough. Other methods may be used.</w:t>
      </w:r>
      <w:r>
        <w:rPr>
          <w:rStyle w:val="Literaturverweis"/>
          <w:vertAlign w:val="baseline"/>
        </w:rPr>
        <w:fldChar w:fldCharType="begin"/>
      </w:r>
      <w:r>
        <w:rPr>
          <w:rStyle w:val="Literaturverweis"/>
          <w:vertAlign w:val="baseline"/>
        </w:rPr>
        <w:instrText>REF Hicks2003 \h</w:instrText>
      </w:r>
      <w:r>
        <w:rPr>
          <w:rStyle w:val="Literaturverweis"/>
          <w:vertAlign w:val="baseline"/>
        </w:rPr>
      </w:r>
      <w:r>
        <w:rPr>
          <w:rStyle w:val="Literaturverweis"/>
          <w:vertAlign w:val="baseline"/>
        </w:rPr>
        <w:fldChar w:fldCharType="separate"/>
      </w:r>
      <w:r>
        <w:rPr>
          <w:rStyle w:val="Literaturverweis"/>
          <w:vertAlign w:val="baseline"/>
        </w:rPr>
        <w:t>[1]</w:t>
      </w:r>
      <w:r>
        <w:rPr>
          <w:rStyle w:val="Literaturverweis"/>
          <w:vertAlign w:val="baseline"/>
        </w:rPr>
        <w:fldChar w:fldCharType="end"/>
      </w:r>
      <w:r>
        <w:t xml:space="preserve"> If the thickness of a glass particle is less than about 1 mm the incident X-ray beam can penetrate the particle and cause an enhanced background </w:t>
      </w:r>
      <w:r w:rsidR="00205AF8">
        <w:t>due to scattering originating from the sample holder</w:t>
      </w:r>
      <w:r>
        <w:t xml:space="preserve">. To reduce this background the particle can be supported by a thin polymer foil elevated above the stage. The distance </w:t>
      </w:r>
      <w:r w:rsidR="00205AF8">
        <w:t xml:space="preserve">from </w:t>
      </w:r>
      <w:r>
        <w:t xml:space="preserve">the stage should be large enough to minimise </w:t>
      </w:r>
      <w:r w:rsidR="00205AF8">
        <w:t xml:space="preserve">the </w:t>
      </w:r>
      <w:r>
        <w:t>scattered X-ray intensity.</w:t>
      </w:r>
    </w:p>
    <w:p w14:paraId="457BF46A" w14:textId="77777777" w:rsidR="002173D0" w:rsidRDefault="00FC104E">
      <w:pPr>
        <w:pStyle w:val="Overskrift1"/>
        <w:keepLines/>
        <w:numPr>
          <w:ilvl w:val="0"/>
          <w:numId w:val="2"/>
        </w:numPr>
        <w:spacing w:line="276" w:lineRule="auto"/>
        <w:ind w:left="432" w:hanging="432"/>
        <w:rPr>
          <w:lang w:val="en-US"/>
        </w:rPr>
      </w:pPr>
      <w:bookmarkStart w:id="21" w:name="_Toc115987973"/>
      <w:r>
        <w:rPr>
          <w:lang w:val="en-US"/>
        </w:rPr>
        <w:t>Elemental Analysis</w:t>
      </w:r>
      <w:bookmarkEnd w:id="21"/>
    </w:p>
    <w:p w14:paraId="6423F2E8" w14:textId="77777777" w:rsidR="002173D0" w:rsidRDefault="00FC104E">
      <w:pPr>
        <w:pStyle w:val="Overskrift2"/>
        <w:keepLines/>
        <w:numPr>
          <w:ilvl w:val="1"/>
          <w:numId w:val="2"/>
        </w:numPr>
        <w:spacing w:before="0" w:line="276" w:lineRule="auto"/>
        <w:ind w:left="576" w:hanging="576"/>
      </w:pPr>
      <w:bookmarkStart w:id="22" w:name="_Toc67474330"/>
      <w:bookmarkStart w:id="23" w:name="_Toc62738754"/>
      <w:bookmarkStart w:id="24" w:name="_Toc58495771"/>
      <w:bookmarkStart w:id="25" w:name="_Toc115987974"/>
      <w:r>
        <w:t>Functionality and Calibration</w:t>
      </w:r>
      <w:bookmarkEnd w:id="22"/>
      <w:bookmarkEnd w:id="23"/>
      <w:bookmarkEnd w:id="24"/>
      <w:bookmarkEnd w:id="25"/>
    </w:p>
    <w:p w14:paraId="18CC7E59" w14:textId="77777777" w:rsidR="002173D0" w:rsidRDefault="00FC104E">
      <w:pPr>
        <w:pStyle w:val="Overskrift3"/>
        <w:numPr>
          <w:ilvl w:val="2"/>
          <w:numId w:val="2"/>
        </w:numPr>
        <w:rPr>
          <w:lang w:val="en-US"/>
        </w:rPr>
      </w:pPr>
      <w:bookmarkStart w:id="26" w:name="_Toc115987975"/>
      <w:r>
        <w:rPr>
          <w:lang w:val="en-US"/>
        </w:rPr>
        <w:t>Functionality Check</w:t>
      </w:r>
      <w:bookmarkEnd w:id="26"/>
    </w:p>
    <w:p w14:paraId="4F71EC50" w14:textId="2E71E099" w:rsidR="002173D0" w:rsidRDefault="00FC104E">
      <w:pPr>
        <w:pStyle w:val="Brdtekst"/>
        <w:rPr>
          <w:lang w:val="en-US"/>
        </w:rPr>
      </w:pPr>
      <w:r>
        <w:rPr>
          <w:lang w:val="en-US"/>
        </w:rPr>
        <w:t>The functionality of the detection system should be checked on a regular basis or when there are concerns about the correct performance of the system</w:t>
      </w:r>
      <w:r w:rsidR="00E236D0">
        <w:rPr>
          <w:lang w:val="en-US"/>
        </w:rPr>
        <w:t>,</w:t>
      </w:r>
      <w:r>
        <w:rPr>
          <w:lang w:val="en-US"/>
        </w:rPr>
        <w:t xml:space="preserve"> by measuring a well characterized sample. The collected spectra should be inspected critically </w:t>
      </w:r>
      <w:r w:rsidR="00E236D0">
        <w:rPr>
          <w:lang w:val="en-US"/>
        </w:rPr>
        <w:t>examining</w:t>
      </w:r>
      <w:r>
        <w:rPr>
          <w:lang w:val="en-US"/>
        </w:rPr>
        <w:t xml:space="preserve"> the peak shape and peak energy to reveal potential problems</w:t>
      </w:r>
      <w:r>
        <w:t>.</w:t>
      </w:r>
    </w:p>
    <w:p w14:paraId="1E003C93" w14:textId="77777777" w:rsidR="002173D0" w:rsidRDefault="00FC104E">
      <w:pPr>
        <w:pStyle w:val="Overskrift3"/>
        <w:numPr>
          <w:ilvl w:val="2"/>
          <w:numId w:val="2"/>
        </w:numPr>
        <w:rPr>
          <w:lang w:val="en-US"/>
        </w:rPr>
      </w:pPr>
      <w:bookmarkStart w:id="27" w:name="_Toc115987976"/>
      <w:r>
        <w:rPr>
          <w:lang w:val="en-US"/>
        </w:rPr>
        <w:t>Energy Calibration</w:t>
      </w:r>
      <w:bookmarkEnd w:id="27"/>
    </w:p>
    <w:p w14:paraId="7186B095" w14:textId="3BD54EC3" w:rsidR="002173D0" w:rsidRDefault="00FC104E">
      <w:pPr>
        <w:pStyle w:val="Brdtekst"/>
        <w:rPr>
          <w:lang w:val="en-US"/>
        </w:rPr>
      </w:pPr>
      <w:r>
        <w:rPr>
          <w:lang w:val="en-US"/>
        </w:rPr>
        <w:t>The detection system</w:t>
      </w:r>
      <w:r w:rsidR="00EE260D">
        <w:rPr>
          <w:lang w:val="en-US"/>
        </w:rPr>
        <w:t xml:space="preserve"> </w:t>
      </w:r>
      <w:r w:rsidR="00707BA4">
        <w:rPr>
          <w:lang w:val="en-US"/>
        </w:rPr>
        <w:t xml:space="preserve">must be calibrated for </w:t>
      </w:r>
      <w:r w:rsidR="00EE260D">
        <w:rPr>
          <w:lang w:val="en-US"/>
        </w:rPr>
        <w:t xml:space="preserve">the correct </w:t>
      </w:r>
      <w:r w:rsidR="00707BA4">
        <w:rPr>
          <w:lang w:val="en-US"/>
        </w:rPr>
        <w:t>relation between channels and absolute energy in keV</w:t>
      </w:r>
      <w:r>
        <w:rPr>
          <w:lang w:val="en-US"/>
        </w:rPr>
        <w:t xml:space="preserve"> on a regular basis or when there are concerns about the correct performance of the system. Modern spectrometer software allows </w:t>
      </w:r>
      <w:r w:rsidR="009533C3">
        <w:rPr>
          <w:lang w:val="en-US"/>
        </w:rPr>
        <w:t xml:space="preserve">for </w:t>
      </w:r>
      <w:r>
        <w:rPr>
          <w:lang w:val="en-US"/>
        </w:rPr>
        <w:t>an automatic two-point energy calibration using a standard composite material of known composition (e. g. Cu/Al), preferably providing high and low energy characteristic energies (E(Al-K</w:t>
      </w:r>
      <w:r>
        <w:rPr>
          <w:rFonts w:cs="Arial"/>
          <w:lang w:val="en-US"/>
        </w:rPr>
        <w:t>α</w:t>
      </w:r>
      <w:r>
        <w:rPr>
          <w:lang w:val="en-US"/>
        </w:rPr>
        <w:t>) = 1.468 keV and E(Cu-K</w:t>
      </w:r>
      <w:r>
        <w:rPr>
          <w:rFonts w:cs="Arial"/>
          <w:lang w:val="en-US"/>
        </w:rPr>
        <w:t>α</w:t>
      </w:r>
      <w:r>
        <w:rPr>
          <w:lang w:val="en-US"/>
        </w:rPr>
        <w:t>) = 8.040 keV). For calibration follow your XRF software’s application notes. The detector and counting electronics are sensitive to temperature changes, therefore the room temperature of the laboratory should be kept within a minimum fluctuation.</w:t>
      </w:r>
    </w:p>
    <w:p w14:paraId="5BEB55C1" w14:textId="4EF1F50E" w:rsidR="002173D0" w:rsidRDefault="009533C3">
      <w:pPr>
        <w:pStyle w:val="Brdtekst"/>
        <w:rPr>
          <w:lang w:val="en-US"/>
        </w:rPr>
      </w:pPr>
      <w:r>
        <w:rPr>
          <w:lang w:val="en-US"/>
        </w:rPr>
        <w:t>T</w:t>
      </w:r>
      <w:r w:rsidR="00FC104E">
        <w:rPr>
          <w:lang w:val="en-US"/>
        </w:rPr>
        <w:t xml:space="preserve">he </w:t>
      </w:r>
      <w:r w:rsidR="00707BA4">
        <w:rPr>
          <w:lang w:val="en-US"/>
        </w:rPr>
        <w:t>standardized</w:t>
      </w:r>
      <w:r w:rsidR="00FC104E">
        <w:rPr>
          <w:lang w:val="en-US"/>
        </w:rPr>
        <w:t xml:space="preserve"> FWHM</w:t>
      </w:r>
      <w:r w:rsidR="00707BA4">
        <w:rPr>
          <w:lang w:val="en-US"/>
        </w:rPr>
        <w:t xml:space="preserve"> </w:t>
      </w:r>
      <w:r w:rsidR="00FC104E">
        <w:rPr>
          <w:lang w:val="en-US"/>
        </w:rPr>
        <w:t>(usually</w:t>
      </w:r>
      <w:r w:rsidR="00707BA4">
        <w:rPr>
          <w:lang w:val="en-US"/>
        </w:rPr>
        <w:t xml:space="preserve"> of</w:t>
      </w:r>
      <w:r w:rsidR="00FC104E">
        <w:rPr>
          <w:lang w:val="en-US"/>
        </w:rPr>
        <w:t xml:space="preserve"> </w:t>
      </w:r>
      <w:r w:rsidR="00707BA4">
        <w:rPr>
          <w:lang w:val="en-US"/>
        </w:rPr>
        <w:t xml:space="preserve">the </w:t>
      </w:r>
      <w:r w:rsidR="00FC104E">
        <w:rPr>
          <w:lang w:val="en-US"/>
        </w:rPr>
        <w:t>Mn-K</w:t>
      </w:r>
      <w:r w:rsidR="00FC104E">
        <w:rPr>
          <w:rFonts w:cs="Arial"/>
          <w:lang w:val="en-US"/>
        </w:rPr>
        <w:t>α</w:t>
      </w:r>
      <w:r w:rsidR="00707BA4">
        <w:rPr>
          <w:rFonts w:cs="Arial"/>
          <w:lang w:val="en-US"/>
        </w:rPr>
        <w:t xml:space="preserve"> peak</w:t>
      </w:r>
      <w:r w:rsidR="00FC104E">
        <w:rPr>
          <w:rFonts w:cs="Arial"/>
          <w:lang w:val="en-US"/>
        </w:rPr>
        <w:t>)</w:t>
      </w:r>
      <w:r w:rsidR="00707BA4">
        <w:rPr>
          <w:rFonts w:cs="Arial"/>
          <w:lang w:val="en-US"/>
        </w:rPr>
        <w:t xml:space="preserve"> is usually output by the system and should</w:t>
      </w:r>
      <w:r w:rsidR="00FC104E">
        <w:rPr>
          <w:lang w:val="en-US"/>
        </w:rPr>
        <w:t xml:space="preserve"> be documented</w:t>
      </w:r>
      <w:r>
        <w:rPr>
          <w:lang w:val="en-US"/>
        </w:rPr>
        <w:t xml:space="preserve">. </w:t>
      </w:r>
      <w:r w:rsidR="00EE260D">
        <w:rPr>
          <w:lang w:val="en-US"/>
        </w:rPr>
        <w:t>I</w:t>
      </w:r>
      <w:r w:rsidR="00FC104E">
        <w:rPr>
          <w:lang w:val="en-US"/>
        </w:rPr>
        <w:t xml:space="preserve">t is strongly recommended to keep </w:t>
      </w:r>
      <w:r>
        <w:rPr>
          <w:lang w:val="en-US"/>
        </w:rPr>
        <w:t>records</w:t>
      </w:r>
      <w:r w:rsidR="00FC104E">
        <w:rPr>
          <w:lang w:val="en-US"/>
        </w:rPr>
        <w:t xml:space="preserve"> of all </w:t>
      </w:r>
      <w:r>
        <w:rPr>
          <w:lang w:val="en-US"/>
        </w:rPr>
        <w:t xml:space="preserve">the </w:t>
      </w:r>
      <w:r w:rsidR="00FC104E">
        <w:rPr>
          <w:lang w:val="en-US"/>
        </w:rPr>
        <w:t xml:space="preserve">calibration spectra as a quality assurance measure </w:t>
      </w:r>
      <w:r>
        <w:rPr>
          <w:lang w:val="en-US"/>
        </w:rPr>
        <w:t xml:space="preserve">and </w:t>
      </w:r>
      <w:r w:rsidR="00FC104E">
        <w:rPr>
          <w:lang w:val="en-US"/>
        </w:rPr>
        <w:t>to detect and backtrack malfunctions.</w:t>
      </w:r>
    </w:p>
    <w:p w14:paraId="3227B747" w14:textId="77777777" w:rsidR="002173D0" w:rsidRDefault="00FC104E">
      <w:pPr>
        <w:pStyle w:val="Overskrift3"/>
        <w:numPr>
          <w:ilvl w:val="2"/>
          <w:numId w:val="2"/>
        </w:numPr>
        <w:rPr>
          <w:lang w:val="en-US"/>
        </w:rPr>
      </w:pPr>
      <w:bookmarkStart w:id="28" w:name="_Toc115987977"/>
      <w:r>
        <w:rPr>
          <w:lang w:val="en-US"/>
        </w:rPr>
        <w:t>Spatial Calibration</w:t>
      </w:r>
      <w:bookmarkEnd w:id="28"/>
    </w:p>
    <w:p w14:paraId="626CF52C" w14:textId="3E6C8D49" w:rsidR="002173D0" w:rsidRDefault="00FC104E">
      <w:pPr>
        <w:pStyle w:val="Brdtekst"/>
      </w:pPr>
      <w:r>
        <w:t xml:space="preserve">To achieve the theoretical spatial resolution determined by the spot size (usually for a </w:t>
      </w:r>
      <w:proofErr w:type="spellStart"/>
      <w:r>
        <w:t>monocapillary</w:t>
      </w:r>
      <w:proofErr w:type="spellEnd"/>
      <w:r>
        <w:t xml:space="preserve"> system &gt;100 µm, polycapillary system &gt;20 µm) it is important to check the </w:t>
      </w:r>
      <w:r>
        <w:lastRenderedPageBreak/>
        <w:t xml:space="preserve">coincidence point of the X-ray beam with the marked measurement spot of the video system. Especially when the capillary is tilted from the vertical line a small defocussing will give a different point of impact of the X-ray beam in the horizontal plane. This can be checked by a special sample with a thin fluorescent layer or any other suitable sample for spatial calibration. </w:t>
      </w:r>
      <w:r>
        <w:rPr>
          <w:lang w:val="en-US"/>
        </w:rPr>
        <w:t xml:space="preserve">For calibration follow your XRF software’s application notes. </w:t>
      </w:r>
      <w:r>
        <w:t>Any uncertainties noticed here must be considered.</w:t>
      </w:r>
    </w:p>
    <w:p w14:paraId="736A918B" w14:textId="77777777" w:rsidR="002173D0" w:rsidRDefault="00FC104E">
      <w:pPr>
        <w:pStyle w:val="Overskrift2"/>
        <w:numPr>
          <w:ilvl w:val="1"/>
          <w:numId w:val="2"/>
        </w:numPr>
      </w:pPr>
      <w:bookmarkStart w:id="29" w:name="_Ref103063728"/>
      <w:bookmarkStart w:id="30" w:name="_Ref103063722"/>
      <w:bookmarkStart w:id="31" w:name="_Toc67474331"/>
      <w:bookmarkStart w:id="32" w:name="_Toc62738755"/>
      <w:bookmarkStart w:id="33" w:name="_Toc58495772"/>
      <w:bookmarkStart w:id="34" w:name="_Ref58411800"/>
      <w:bookmarkStart w:id="35" w:name="_Ref58411796"/>
      <w:bookmarkStart w:id="36" w:name="_Toc58251883"/>
      <w:bookmarkStart w:id="37" w:name="_Toc115987978"/>
      <w:r>
        <w:t>Qualitative Analysis</w:t>
      </w:r>
      <w:bookmarkEnd w:id="29"/>
      <w:bookmarkEnd w:id="30"/>
      <w:bookmarkEnd w:id="31"/>
      <w:bookmarkEnd w:id="32"/>
      <w:bookmarkEnd w:id="33"/>
      <w:bookmarkEnd w:id="34"/>
      <w:bookmarkEnd w:id="35"/>
      <w:bookmarkEnd w:id="36"/>
      <w:bookmarkEnd w:id="37"/>
    </w:p>
    <w:p w14:paraId="6B4E9AFE" w14:textId="77777777" w:rsidR="002173D0" w:rsidRDefault="00FC104E">
      <w:pPr>
        <w:pStyle w:val="Overskrift3"/>
        <w:numPr>
          <w:ilvl w:val="2"/>
          <w:numId w:val="2"/>
        </w:numPr>
      </w:pPr>
      <w:bookmarkStart w:id="38" w:name="_Ref95391059"/>
      <w:bookmarkStart w:id="39" w:name="_Toc67474332"/>
      <w:bookmarkStart w:id="40" w:name="_Ref67471162"/>
      <w:bookmarkStart w:id="41" w:name="_Ref62745575"/>
      <w:bookmarkStart w:id="42" w:name="_Toc62738756"/>
      <w:bookmarkStart w:id="43" w:name="_Toc115987979"/>
      <w:r>
        <w:t>Settings</w:t>
      </w:r>
      <w:bookmarkEnd w:id="38"/>
      <w:bookmarkEnd w:id="39"/>
      <w:bookmarkEnd w:id="40"/>
      <w:bookmarkEnd w:id="41"/>
      <w:bookmarkEnd w:id="42"/>
      <w:bookmarkEnd w:id="43"/>
    </w:p>
    <w:p w14:paraId="49C98044" w14:textId="77777777" w:rsidR="002173D0" w:rsidRDefault="00FC104E">
      <w:pPr>
        <w:pStyle w:val="Brdtekst"/>
        <w:rPr>
          <w:lang w:val="en-US"/>
        </w:rPr>
      </w:pPr>
      <w:r>
        <w:rPr>
          <w:lang w:val="en-US"/>
        </w:rPr>
        <w:t>The following instrumental settings are recommended for a standard glass analysis by XRF:</w:t>
      </w:r>
    </w:p>
    <w:p w14:paraId="1B34A7BF" w14:textId="77777777" w:rsidR="002173D0" w:rsidRDefault="00FC104E">
      <w:pPr>
        <w:pStyle w:val="Listeavsnitt"/>
        <w:numPr>
          <w:ilvl w:val="0"/>
          <w:numId w:val="3"/>
        </w:numPr>
      </w:pPr>
      <w:bookmarkStart w:id="44" w:name="_Ref102727917"/>
      <w:r>
        <w:rPr>
          <w:lang w:val="en-US"/>
        </w:rPr>
        <w:t>All measurements should be performed under vacuum or in helium.</w:t>
      </w:r>
      <w:bookmarkEnd w:id="44"/>
      <w:r>
        <w:rPr>
          <w:lang w:val="en-US"/>
        </w:rPr>
        <w:t xml:space="preserve"> </w:t>
      </w:r>
    </w:p>
    <w:p w14:paraId="0BB66B46" w14:textId="77777777" w:rsidR="002173D0" w:rsidRDefault="00FC104E">
      <w:pPr>
        <w:pStyle w:val="Listeavsnitt"/>
        <w:numPr>
          <w:ilvl w:val="0"/>
          <w:numId w:val="3"/>
        </w:numPr>
        <w:rPr>
          <w:lang w:val="en-US"/>
        </w:rPr>
      </w:pPr>
      <w:r>
        <w:rPr>
          <w:lang w:val="en-US"/>
        </w:rPr>
        <w:t>The use of primary X-ray filters is not necessary.</w:t>
      </w:r>
    </w:p>
    <w:p w14:paraId="76390DF1" w14:textId="734F3E5B" w:rsidR="002173D0" w:rsidRDefault="00FC104E">
      <w:pPr>
        <w:pStyle w:val="Listeavsnitt"/>
        <w:numPr>
          <w:ilvl w:val="0"/>
          <w:numId w:val="3"/>
        </w:numPr>
        <w:rPr>
          <w:lang w:val="en-US"/>
        </w:rPr>
      </w:pPr>
      <w:r>
        <w:rPr>
          <w:lang w:val="en-US"/>
        </w:rPr>
        <w:t>The excitation voltage should be set to maximum (usually 40-50 kV</w:t>
      </w:r>
      <w:r w:rsidR="00707BA4">
        <w:rPr>
          <w:lang w:val="en-US"/>
        </w:rPr>
        <w:t xml:space="preserve"> for a Rh X-ray tube. This type of anode materials shows a minimum of interferences with common glass elements</w:t>
      </w:r>
      <w:r>
        <w:rPr>
          <w:lang w:val="en-US"/>
        </w:rPr>
        <w:t>.</w:t>
      </w:r>
      <w:r w:rsidR="00707BA4">
        <w:rPr>
          <w:lang w:val="en-US"/>
        </w:rPr>
        <w:t>)</w:t>
      </w:r>
    </w:p>
    <w:p w14:paraId="76AFC403" w14:textId="77777777" w:rsidR="002173D0" w:rsidRDefault="00FC104E">
      <w:pPr>
        <w:pStyle w:val="Listeavsnitt"/>
        <w:numPr>
          <w:ilvl w:val="0"/>
          <w:numId w:val="3"/>
        </w:numPr>
      </w:pPr>
      <w:r>
        <w:t>A channel resolution ≤ 10 eV/channel is recommended.</w:t>
      </w:r>
    </w:p>
    <w:p w14:paraId="3762D1A4" w14:textId="77777777" w:rsidR="002173D0" w:rsidRDefault="00FC104E">
      <w:pPr>
        <w:pStyle w:val="Listeavsnitt"/>
        <w:numPr>
          <w:ilvl w:val="0"/>
          <w:numId w:val="3"/>
        </w:numPr>
      </w:pPr>
      <w:r>
        <w:t>Process time</w:t>
      </w:r>
      <w:r>
        <w:rPr>
          <w:rStyle w:val="Ancredenotedebasdepage"/>
        </w:rPr>
        <w:footnoteReference w:id="1"/>
      </w:r>
      <w:r>
        <w:t>: the process time should be chosen according a suitable peak resolution (preferably ≤ 140 eV for the FWHM of the M</w:t>
      </w:r>
      <w:bookmarkStart w:id="45" w:name="_Hlk60826002"/>
      <w:bookmarkEnd w:id="45"/>
      <w:r>
        <w:t xml:space="preserve">n Kα peak) with regard to the points </w:t>
      </w:r>
      <w:r>
        <w:fldChar w:fldCharType="begin"/>
      </w:r>
      <w:r>
        <w:instrText>REF _Ref62744115 \n \h</w:instrText>
      </w:r>
      <w:r>
        <w:fldChar w:fldCharType="separate"/>
      </w:r>
      <w:r>
        <w:t>vi</w:t>
      </w:r>
      <w:r>
        <w:fldChar w:fldCharType="end"/>
      </w:r>
      <w:r>
        <w:t xml:space="preserve"> and </w:t>
      </w:r>
      <w:r>
        <w:fldChar w:fldCharType="begin"/>
      </w:r>
      <w:r>
        <w:instrText>REF _Ref61247015 \n \h</w:instrText>
      </w:r>
      <w:r>
        <w:fldChar w:fldCharType="separate"/>
      </w:r>
      <w:r>
        <w:t>vii</w:t>
      </w:r>
      <w:r>
        <w:fldChar w:fldCharType="end"/>
      </w:r>
      <w:r>
        <w:t>. Shorter process times allow higher beam currents and thus maximise the throughput while longer process times improve the resolution (FWHM).</w:t>
      </w:r>
    </w:p>
    <w:p w14:paraId="0A0C314A" w14:textId="77777777" w:rsidR="002173D0" w:rsidRDefault="00FC104E">
      <w:pPr>
        <w:pStyle w:val="Listeavsnitt"/>
        <w:numPr>
          <w:ilvl w:val="0"/>
          <w:numId w:val="3"/>
        </w:numPr>
      </w:pPr>
      <w:bookmarkStart w:id="46" w:name="_Ref61247012"/>
      <w:bookmarkStart w:id="47" w:name="_Ref62744115"/>
      <w:r>
        <w:t>Dead time/ tube current: the tube current should be chosen to achieve a dead time ≤ 30 % for selected process time</w:t>
      </w:r>
      <w:bookmarkEnd w:id="46"/>
      <w:r>
        <w:t>, preferably &lt; 20 % to minimise coincidence peaks with respect to the acquisition time.</w:t>
      </w:r>
      <w:bookmarkEnd w:id="47"/>
      <w:r>
        <w:t xml:space="preserve"> </w:t>
      </w:r>
    </w:p>
    <w:p w14:paraId="660DAF08" w14:textId="77777777" w:rsidR="002173D0" w:rsidRDefault="00FC104E">
      <w:pPr>
        <w:pStyle w:val="Listeavsnitt"/>
        <w:numPr>
          <w:ilvl w:val="0"/>
          <w:numId w:val="3"/>
        </w:numPr>
      </w:pPr>
      <w:bookmarkStart w:id="48" w:name="_Ref61247015"/>
      <w:r>
        <w:t xml:space="preserve">Acquisition time: The combination of selected parameters </w:t>
      </w:r>
      <w:r>
        <w:fldChar w:fldCharType="begin"/>
      </w:r>
      <w:r>
        <w:instrText>REF _Ref102727917 \r \h</w:instrText>
      </w:r>
      <w:r>
        <w:fldChar w:fldCharType="separate"/>
      </w:r>
      <w:proofErr w:type="spellStart"/>
      <w:r>
        <w:t>i</w:t>
      </w:r>
      <w:proofErr w:type="spellEnd"/>
      <w:r>
        <w:fldChar w:fldCharType="end"/>
      </w:r>
      <w:r>
        <w:t xml:space="preserve"> to </w:t>
      </w:r>
      <w:r>
        <w:fldChar w:fldCharType="begin"/>
      </w:r>
      <w:r>
        <w:instrText>REF _Ref62744115 \r \h</w:instrText>
      </w:r>
      <w:r>
        <w:fldChar w:fldCharType="separate"/>
      </w:r>
      <w:r>
        <w:t>vi</w:t>
      </w:r>
      <w:r>
        <w:fldChar w:fldCharType="end"/>
      </w:r>
      <w:r>
        <w:t xml:space="preserve"> and acquisition time should be set so a minimum of 500,000 (preferably 2,500,000) counts are stored in the spectral range in a reasonable measurement time</w:t>
      </w:r>
      <w:bookmarkEnd w:id="48"/>
      <w:r>
        <w:t>.</w:t>
      </w:r>
    </w:p>
    <w:p w14:paraId="3DEEC669" w14:textId="77777777" w:rsidR="002173D0" w:rsidRDefault="002173D0">
      <w:pPr>
        <w:pStyle w:val="Listeavsnitt"/>
        <w:ind w:left="720"/>
      </w:pPr>
    </w:p>
    <w:tbl>
      <w:tblPr>
        <w:tblW w:w="7229" w:type="dxa"/>
        <w:tblInd w:w="1101" w:type="dxa"/>
        <w:tblCellMar>
          <w:left w:w="113" w:type="dxa"/>
        </w:tblCellMar>
        <w:tblLook w:val="04A0" w:firstRow="1" w:lastRow="0" w:firstColumn="1" w:lastColumn="0" w:noHBand="0" w:noVBand="1"/>
      </w:tblPr>
      <w:tblGrid>
        <w:gridCol w:w="7229"/>
      </w:tblGrid>
      <w:tr w:rsidR="002173D0" w14:paraId="180BEAD7" w14:textId="77777777">
        <w:tc>
          <w:tcPr>
            <w:tcW w:w="7229" w:type="dxa"/>
            <w:shd w:val="clear" w:color="auto" w:fill="BFBFBF"/>
          </w:tcPr>
          <w:p w14:paraId="063D13EA" w14:textId="77777777" w:rsidR="002173D0" w:rsidRDefault="00FC104E">
            <w:pPr>
              <w:pStyle w:val="Listeavsnitt"/>
              <w:ind w:left="33"/>
              <w:rPr>
                <w:rFonts w:eastAsia="BundesSerif Office"/>
                <w:highlight w:val="yellow"/>
              </w:rPr>
            </w:pPr>
            <w:r>
              <w:rPr>
                <w:rFonts w:eastAsia="BundesSerif Office"/>
                <w:b/>
                <w:szCs w:val="22"/>
              </w:rPr>
              <w:t>Example:</w:t>
            </w:r>
            <w:r>
              <w:rPr>
                <w:rFonts w:eastAsia="BundesSerif Office"/>
                <w:szCs w:val="22"/>
              </w:rPr>
              <w:t xml:space="preserve"> An input count rate (ICR) of 3,250 cps with a dead time of 30 % results in an output count rate (OCR) of 2,500 cps. That yields a total live time of 200 s for a statistically accurate analysis with a total of 500,000 counts.</w:t>
            </w:r>
          </w:p>
        </w:tc>
      </w:tr>
    </w:tbl>
    <w:p w14:paraId="3656B9AB" w14:textId="77777777" w:rsidR="002173D0" w:rsidRDefault="002173D0">
      <w:pPr>
        <w:pStyle w:val="Listeavsnitt"/>
      </w:pPr>
    </w:p>
    <w:p w14:paraId="58C2385B" w14:textId="77777777" w:rsidR="002173D0" w:rsidRDefault="00FC104E">
      <w:pPr>
        <w:pStyle w:val="Listeavsnitt"/>
      </w:pPr>
      <w:r>
        <w:t xml:space="preserve">With modern SD detectors usually much higher output count rates are possible compared to Si(Li) technology and measurement times can be shortened significantly. </w:t>
      </w:r>
    </w:p>
    <w:p w14:paraId="068FC902" w14:textId="77777777" w:rsidR="002173D0" w:rsidRDefault="00FC104E">
      <w:pPr>
        <w:pStyle w:val="Overskrift3"/>
        <w:numPr>
          <w:ilvl w:val="2"/>
          <w:numId w:val="2"/>
        </w:numPr>
        <w:rPr>
          <w:lang w:val="en-US"/>
        </w:rPr>
      </w:pPr>
      <w:bookmarkStart w:id="49" w:name="_Toc67474333"/>
      <w:bookmarkStart w:id="50" w:name="_Toc115987980"/>
      <w:r>
        <w:rPr>
          <w:lang w:val="en-US"/>
        </w:rPr>
        <w:t>Spectrum Acquisition</w:t>
      </w:r>
      <w:bookmarkEnd w:id="49"/>
      <w:bookmarkEnd w:id="50"/>
    </w:p>
    <w:p w14:paraId="42453857" w14:textId="5BA22E42" w:rsidR="002173D0" w:rsidRDefault="00FC104E">
      <w:pPr>
        <w:pStyle w:val="Brdtekst"/>
      </w:pPr>
      <w:r>
        <w:rPr>
          <w:lang w:val="en-US"/>
        </w:rPr>
        <w:t xml:space="preserve">For every (sub)sample at least three measurements (at different locations on the sample if possible) under the same conditions determined in </w:t>
      </w:r>
      <w:r>
        <w:rPr>
          <w:lang w:val="en-US"/>
        </w:rPr>
        <w:fldChar w:fldCharType="begin"/>
      </w:r>
      <w:r>
        <w:instrText>REF _Ref62745575 \n \h</w:instrText>
      </w:r>
      <w:r>
        <w:rPr>
          <w:lang w:val="en-US"/>
        </w:rPr>
      </w:r>
      <w:r>
        <w:fldChar w:fldCharType="separate"/>
      </w:r>
      <w:r>
        <w:t>7.2.1</w:t>
      </w:r>
      <w:r>
        <w:fldChar w:fldCharType="end"/>
      </w:r>
      <w:r>
        <w:rPr>
          <w:lang w:val="en-US"/>
        </w:rPr>
        <w:t xml:space="preserve"> should be performed.</w:t>
      </w:r>
      <w:r w:rsidR="00707BA4">
        <w:rPr>
          <w:lang w:val="en-US"/>
        </w:rPr>
        <w:t xml:space="preserve"> For a float glass it must be ensured that matching sides (float or anti-float) are acquired for unknown and reference sample.</w:t>
      </w:r>
    </w:p>
    <w:p w14:paraId="0B436859" w14:textId="6235E563" w:rsidR="002173D0" w:rsidRDefault="00FC104E">
      <w:pPr>
        <w:pStyle w:val="Brdtekst"/>
      </w:pPr>
      <w:r>
        <w:rPr>
          <w:lang w:val="en-US"/>
        </w:rPr>
        <w:t xml:space="preserve">After identification by the procedure described in </w:t>
      </w:r>
      <w:r>
        <w:rPr>
          <w:lang w:val="en-US"/>
        </w:rPr>
        <w:fldChar w:fldCharType="begin"/>
      </w:r>
      <w:r>
        <w:instrText>REF _Ref62745648 \n \h</w:instrText>
      </w:r>
      <w:r>
        <w:rPr>
          <w:lang w:val="en-US"/>
        </w:rPr>
      </w:r>
      <w:r>
        <w:fldChar w:fldCharType="separate"/>
      </w:r>
      <w:r>
        <w:t>7.2.3</w:t>
      </w:r>
      <w:r>
        <w:fldChar w:fldCharType="end"/>
      </w:r>
      <w:r>
        <w:rPr>
          <w:lang w:val="en-US"/>
        </w:rPr>
        <w:t xml:space="preserve"> the</w:t>
      </w:r>
      <w:r w:rsidR="001865C5">
        <w:rPr>
          <w:lang w:val="en-US"/>
        </w:rPr>
        <w:t xml:space="preserve"> three spectra</w:t>
      </w:r>
      <w:r>
        <w:rPr>
          <w:lang w:val="en-US"/>
        </w:rPr>
        <w:t xml:space="preserve"> elemental composition must </w:t>
      </w:r>
      <w:r w:rsidR="001865C5">
        <w:rPr>
          <w:lang w:val="en-US"/>
        </w:rPr>
        <w:t>‘</w:t>
      </w:r>
      <w:r>
        <w:rPr>
          <w:lang w:val="en-US"/>
        </w:rPr>
        <w:t>match</w:t>
      </w:r>
      <w:r w:rsidR="001865C5">
        <w:rPr>
          <w:lang w:val="en-US"/>
        </w:rPr>
        <w:t>’ (i.e. be indistinguishable form on another</w:t>
      </w:r>
      <w:r>
        <w:rPr>
          <w:lang w:val="en-US"/>
        </w:rPr>
        <w:t>. If this is not the case the sample has to be checked for inhomogeneity and surface contamination. The full analysis including preparation/cleaning</w:t>
      </w:r>
      <w:r w:rsidR="00A71103">
        <w:rPr>
          <w:lang w:val="en-US"/>
        </w:rPr>
        <w:t xml:space="preserve"> </w:t>
      </w:r>
      <w:r w:rsidR="001865C5">
        <w:rPr>
          <w:lang w:val="en-US"/>
        </w:rPr>
        <w:t xml:space="preserve">should </w:t>
      </w:r>
      <w:r>
        <w:rPr>
          <w:lang w:val="en-US"/>
        </w:rPr>
        <w:t>be repeated with these factors in mind.</w:t>
      </w:r>
    </w:p>
    <w:p w14:paraId="677F1FF5" w14:textId="77777777" w:rsidR="002173D0" w:rsidRDefault="00FC104E">
      <w:pPr>
        <w:pStyle w:val="Overskrift3"/>
        <w:numPr>
          <w:ilvl w:val="2"/>
          <w:numId w:val="2"/>
        </w:numPr>
      </w:pPr>
      <w:bookmarkStart w:id="51" w:name="_Ref96340812"/>
      <w:bookmarkStart w:id="52" w:name="_Toc67474334"/>
      <w:bookmarkStart w:id="53" w:name="_Ref62745648"/>
      <w:bookmarkStart w:id="54" w:name="_Toc62738757"/>
      <w:bookmarkStart w:id="55" w:name="_Toc115987981"/>
      <w:r>
        <w:t>Identification Procedure</w:t>
      </w:r>
      <w:bookmarkEnd w:id="51"/>
      <w:bookmarkEnd w:id="52"/>
      <w:bookmarkEnd w:id="53"/>
      <w:bookmarkEnd w:id="54"/>
      <w:bookmarkEnd w:id="55"/>
    </w:p>
    <w:p w14:paraId="35AFD1B6" w14:textId="11268F53" w:rsidR="002173D0" w:rsidRDefault="00FC104E">
      <w:pPr>
        <w:pStyle w:val="Brdtekst"/>
        <w:rPr>
          <w:lang w:val="en-US"/>
        </w:rPr>
      </w:pPr>
      <w:r>
        <w:rPr>
          <w:lang w:val="en-US"/>
        </w:rPr>
        <w:t>Modern XRF analysis software allows an automatic peak identification. If the automatic identification is used, a critical check has to be performed</w:t>
      </w:r>
      <w:r w:rsidR="001865C5">
        <w:rPr>
          <w:lang w:val="en-US"/>
        </w:rPr>
        <w:t xml:space="preserve"> as</w:t>
      </w:r>
      <w:r>
        <w:rPr>
          <w:lang w:val="en-US"/>
        </w:rPr>
        <w:t xml:space="preserve"> there is the possibility of </w:t>
      </w:r>
      <w:r>
        <w:rPr>
          <w:lang w:val="en-US"/>
        </w:rPr>
        <w:lastRenderedPageBreak/>
        <w:t>misidentification due to severe peak-overlap</w:t>
      </w:r>
      <w:r w:rsidR="001865C5">
        <w:rPr>
          <w:lang w:val="en-US"/>
        </w:rPr>
        <w:t xml:space="preserve"> due to the</w:t>
      </w:r>
      <w:r>
        <w:rPr>
          <w:lang w:val="en-US"/>
        </w:rPr>
        <w:t xml:space="preserve"> energy similarity of elemental peaks (e. g.</w:t>
      </w:r>
      <w:r w:rsidR="00A71103">
        <w:rPr>
          <w:lang w:val="en-US"/>
        </w:rPr>
        <w:t xml:space="preserve"> </w:t>
      </w:r>
      <w:r>
        <w:rPr>
          <w:lang w:val="en-US"/>
        </w:rPr>
        <w:t>Ba/</w:t>
      </w:r>
      <w:proofErr w:type="spellStart"/>
      <w:r>
        <w:rPr>
          <w:lang w:val="en-US"/>
        </w:rPr>
        <w:t>Ti</w:t>
      </w:r>
      <w:proofErr w:type="spellEnd"/>
      <w:r>
        <w:rPr>
          <w:lang w:val="en-US"/>
        </w:rPr>
        <w:t>, Mo/S, Pb/S besides others)</w:t>
      </w:r>
      <w:r>
        <w:rPr>
          <w:rStyle w:val="Literaturverweis"/>
          <w:vertAlign w:val="baseline"/>
        </w:rPr>
        <w:fldChar w:fldCharType="begin"/>
      </w:r>
      <w:r>
        <w:rPr>
          <w:rStyle w:val="Literaturverweis"/>
          <w:vertAlign w:val="baseline"/>
        </w:rPr>
        <w:instrText>REF Newbury2009 \h</w:instrText>
      </w:r>
      <w:r>
        <w:rPr>
          <w:rStyle w:val="Literaturverweis"/>
          <w:vertAlign w:val="baseline"/>
        </w:rPr>
      </w:r>
      <w:r>
        <w:rPr>
          <w:rStyle w:val="Literaturverweis"/>
          <w:vertAlign w:val="baseline"/>
        </w:rPr>
        <w:fldChar w:fldCharType="separate"/>
      </w:r>
      <w:r>
        <w:rPr>
          <w:rStyle w:val="Literaturverweis"/>
          <w:vertAlign w:val="baseline"/>
        </w:rPr>
        <w:t>[2]</w:t>
      </w:r>
      <w:r>
        <w:rPr>
          <w:rStyle w:val="Literaturverweis"/>
          <w:vertAlign w:val="baseline"/>
        </w:rPr>
        <w:fldChar w:fldCharType="end"/>
      </w:r>
      <w:r>
        <w:rPr>
          <w:rStyle w:val="Literaturverweis"/>
        </w:rPr>
        <w:t xml:space="preserve"> </w:t>
      </w:r>
      <w:r>
        <w:rPr>
          <w:lang w:val="en-US"/>
        </w:rPr>
        <w:t xml:space="preserve">. These algorithms are far from perfect and </w:t>
      </w:r>
      <w:r w:rsidR="001865C5">
        <w:rPr>
          <w:lang w:val="en-US"/>
        </w:rPr>
        <w:t>as such</w:t>
      </w:r>
      <w:r>
        <w:rPr>
          <w:lang w:val="en-US"/>
        </w:rPr>
        <w:t xml:space="preserve"> the spectrum must be inspected critically performing the following procedure:</w:t>
      </w:r>
    </w:p>
    <w:p w14:paraId="6A20411E" w14:textId="77777777" w:rsidR="002173D0" w:rsidRDefault="00FC104E">
      <w:pPr>
        <w:pStyle w:val="Listeavsnitt"/>
        <w:numPr>
          <w:ilvl w:val="0"/>
          <w:numId w:val="5"/>
        </w:numPr>
        <w:rPr>
          <w:lang w:val="en-US"/>
        </w:rPr>
      </w:pPr>
      <w:bookmarkStart w:id="56" w:name="__DdeLink__1551_1662357369"/>
      <w:r>
        <w:rPr>
          <w:lang w:val="en-US"/>
        </w:rPr>
        <w:t xml:space="preserve">The acquired spectrum has to be checked for statistically significant peaks. A peak is considered significant if its </w:t>
      </w:r>
      <w:proofErr w:type="spellStart"/>
      <w:r>
        <w:rPr>
          <w:i/>
          <w:lang w:val="en-US"/>
        </w:rPr>
        <w:t>netto</w:t>
      </w:r>
      <w:proofErr w:type="spellEnd"/>
      <w:r>
        <w:rPr>
          <w:lang w:val="en-US"/>
        </w:rPr>
        <w:t xml:space="preserve"> intensity </w:t>
      </w:r>
      <w:proofErr w:type="spellStart"/>
      <w:r>
        <w:rPr>
          <w:lang w:val="en-US"/>
        </w:rPr>
        <w:t>I</w:t>
      </w:r>
      <w:r>
        <w:rPr>
          <w:vertAlign w:val="subscript"/>
          <w:lang w:val="en-US"/>
        </w:rPr>
        <w:t>netto</w:t>
      </w:r>
      <w:proofErr w:type="spellEnd"/>
      <w:r>
        <w:rPr>
          <w:vertAlign w:val="subscript"/>
          <w:lang w:val="en-US"/>
        </w:rPr>
        <w:t xml:space="preserve"> </w:t>
      </w:r>
      <w:r>
        <w:rPr>
          <w:lang w:val="en-US"/>
        </w:rPr>
        <w:t>is greater the 3 times the standard deviation of the background intensity in the framing background regions.</w:t>
      </w:r>
      <w:r>
        <w:rPr>
          <w:rStyle w:val="Literaturverweis"/>
          <w:vertAlign w:val="baseline"/>
        </w:rPr>
        <w:fldChar w:fldCharType="begin"/>
      </w:r>
      <w:r>
        <w:rPr>
          <w:rStyle w:val="Literaturverweis"/>
          <w:vertAlign w:val="baseline"/>
        </w:rPr>
        <w:instrText>REF Ernst2014 \h</w:instrText>
      </w:r>
      <w:r>
        <w:rPr>
          <w:rStyle w:val="Literaturverweis"/>
          <w:vertAlign w:val="baseline"/>
        </w:rPr>
      </w:r>
      <w:r>
        <w:rPr>
          <w:rStyle w:val="Literaturverweis"/>
          <w:vertAlign w:val="baseline"/>
        </w:rPr>
        <w:fldChar w:fldCharType="separate"/>
      </w:r>
      <w:r>
        <w:rPr>
          <w:rStyle w:val="Literaturverweis"/>
          <w:vertAlign w:val="baseline"/>
        </w:rPr>
        <w:t>[3]</w:t>
      </w:r>
      <w:r>
        <w:rPr>
          <w:rStyle w:val="Literaturverweis"/>
          <w:vertAlign w:val="baseline"/>
        </w:rPr>
        <w:fldChar w:fldCharType="end"/>
      </w:r>
    </w:p>
    <w:p w14:paraId="6CCC2BBB" w14:textId="77777777" w:rsidR="002173D0" w:rsidRDefault="00FC104E">
      <w:pPr>
        <w:pStyle w:val="Listeavsnitt"/>
        <w:numPr>
          <w:ilvl w:val="0"/>
          <w:numId w:val="5"/>
        </w:numPr>
        <w:rPr>
          <w:lang w:val="en-US"/>
        </w:rPr>
      </w:pPr>
      <w:bookmarkStart w:id="57" w:name="_Ref62740492"/>
      <w:r>
        <w:rPr>
          <w:lang w:val="en-US"/>
        </w:rPr>
        <w:t>The Rayleigh peaks i. e. K-/L-lines corresponding to the anode material are assigned first.</w:t>
      </w:r>
    </w:p>
    <w:p w14:paraId="02746C62" w14:textId="77777777" w:rsidR="002173D0" w:rsidRDefault="00FC104E">
      <w:pPr>
        <w:pStyle w:val="Listeavsnitt"/>
        <w:numPr>
          <w:ilvl w:val="0"/>
          <w:numId w:val="5"/>
        </w:numPr>
        <w:rPr>
          <w:lang w:val="en-US"/>
        </w:rPr>
      </w:pPr>
      <w:bookmarkStart w:id="58" w:name="_Ref102730473"/>
      <w:r>
        <w:rPr>
          <w:lang w:val="en-US"/>
        </w:rPr>
        <w:t>Afterwards the peaks are assigned from highest energy descending to the next unidentified peak. If two line sets of the same element are visible the low energy lines are assigned in the same step.</w:t>
      </w:r>
      <w:bookmarkEnd w:id="58"/>
      <w:r>
        <w:rPr>
          <w:lang w:val="en-US"/>
        </w:rPr>
        <w:t xml:space="preserve"> </w:t>
      </w:r>
      <w:bookmarkStart w:id="59" w:name="_Ref62740279"/>
      <w:bookmarkEnd w:id="59"/>
    </w:p>
    <w:p w14:paraId="1A069F49" w14:textId="18E4A765" w:rsidR="002173D0" w:rsidRDefault="00FC104E">
      <w:pPr>
        <w:pStyle w:val="Listeavsnitt"/>
        <w:numPr>
          <w:ilvl w:val="0"/>
          <w:numId w:val="5"/>
        </w:numPr>
        <w:rPr>
          <w:lang w:val="en-US"/>
        </w:rPr>
      </w:pPr>
      <w:r>
        <w:rPr>
          <w:lang w:val="en-US"/>
        </w:rPr>
        <w:t>To positively identify an element all members of a line family (e.g. K</w:t>
      </w:r>
      <w:r>
        <w:rPr>
          <w:rFonts w:cs="Arial"/>
          <w:lang w:val="en-US"/>
        </w:rPr>
        <w:t>α</w:t>
      </w:r>
      <w:r>
        <w:rPr>
          <w:lang w:val="en-US"/>
        </w:rPr>
        <w:t xml:space="preserve"> and K</w:t>
      </w:r>
      <w:r>
        <w:rPr>
          <w:rFonts w:cs="Arial"/>
          <w:lang w:val="en-US"/>
        </w:rPr>
        <w:t>β</w:t>
      </w:r>
      <w:r>
        <w:rPr>
          <w:lang w:val="en-US"/>
        </w:rPr>
        <w:t xml:space="preserve">) </w:t>
      </w:r>
      <w:r w:rsidR="001865C5">
        <w:rPr>
          <w:lang w:val="en-US"/>
        </w:rPr>
        <w:t xml:space="preserve">these </w:t>
      </w:r>
      <w:r>
        <w:rPr>
          <w:lang w:val="en-US"/>
        </w:rPr>
        <w:t>should be present in the correct intensity ratios.</w:t>
      </w:r>
      <w:bookmarkEnd w:id="57"/>
      <w:r>
        <w:rPr>
          <w:lang w:val="en-US"/>
        </w:rPr>
        <w:t xml:space="preserve"> Depending on the absolute peak intensity some line family members may not be distinguishable from the background signal. In the low energy regime sublines may not be fully resolved into separated peaks. For strongly overlapping peaks of different elements it may not be possible to determine the intensity or even the presence of a peak directly and the presence of an additional element may only be hinted by another peak’s deviation from a symmetric gaussian shape. This can be approached by a mathematical peak deconvolution offered by most modern software. </w:t>
      </w:r>
    </w:p>
    <w:p w14:paraId="158BF7E9" w14:textId="77777777" w:rsidR="002173D0" w:rsidRDefault="00FC104E">
      <w:pPr>
        <w:pStyle w:val="Listeavsnitt"/>
        <w:numPr>
          <w:ilvl w:val="0"/>
          <w:numId w:val="5"/>
        </w:numPr>
        <w:rPr>
          <w:lang w:val="en-US"/>
        </w:rPr>
      </w:pPr>
      <w:bookmarkStart w:id="60" w:name="_Ref62741029"/>
      <w:r>
        <w:rPr>
          <w:lang w:val="en-US"/>
        </w:rPr>
        <w:t xml:space="preserve">Potential </w:t>
      </w:r>
      <w:r>
        <w:rPr>
          <w:i/>
          <w:lang w:val="en-US"/>
        </w:rPr>
        <w:t>escape and coincidence peaks</w:t>
      </w:r>
      <w:r>
        <w:rPr>
          <w:lang w:val="en-US"/>
        </w:rPr>
        <w:t xml:space="preserve"> of the identified element are determined and assigned (cf. </w:t>
      </w:r>
      <w:r>
        <w:rPr>
          <w:lang w:val="en-US"/>
        </w:rPr>
        <w:fldChar w:fldCharType="begin"/>
      </w:r>
      <w:r>
        <w:instrText>REF _Ref60929887 \n \h</w:instrText>
      </w:r>
      <w:r>
        <w:rPr>
          <w:lang w:val="en-US"/>
        </w:rPr>
      </w:r>
      <w:r>
        <w:fldChar w:fldCharType="separate"/>
      </w:r>
      <w:r>
        <w:t>7.2.4</w:t>
      </w:r>
      <w:r>
        <w:fldChar w:fldCharType="end"/>
      </w:r>
      <w:r>
        <w:rPr>
          <w:lang w:val="en-US"/>
        </w:rPr>
        <w:t xml:space="preserve">). </w:t>
      </w:r>
      <w:bookmarkEnd w:id="60"/>
    </w:p>
    <w:p w14:paraId="329D1473" w14:textId="77777777" w:rsidR="002173D0" w:rsidRDefault="00FC104E">
      <w:pPr>
        <w:pStyle w:val="Listeavsnitt"/>
        <w:numPr>
          <w:ilvl w:val="0"/>
          <w:numId w:val="5"/>
        </w:numPr>
        <w:rPr>
          <w:lang w:val="en-US"/>
        </w:rPr>
      </w:pPr>
      <w:r>
        <w:rPr>
          <w:lang w:val="en-US"/>
        </w:rPr>
        <w:t xml:space="preserve">Step </w:t>
      </w:r>
      <w:r>
        <w:rPr>
          <w:lang w:val="en-US"/>
        </w:rPr>
        <w:fldChar w:fldCharType="begin"/>
      </w:r>
      <w:r>
        <w:instrText>REF _Ref102730473 \r \h</w:instrText>
      </w:r>
      <w:r>
        <w:rPr>
          <w:lang w:val="en-US"/>
        </w:rPr>
      </w:r>
      <w:r>
        <w:fldChar w:fldCharType="separate"/>
      </w:r>
      <w:r>
        <w:t>(3)</w:t>
      </w:r>
      <w:r>
        <w:fldChar w:fldCharType="end"/>
      </w:r>
      <w:r>
        <w:rPr>
          <w:lang w:val="en-US"/>
        </w:rPr>
        <w:t xml:space="preserve"> to </w:t>
      </w:r>
      <w:r>
        <w:rPr>
          <w:lang w:val="en-US"/>
        </w:rPr>
        <w:fldChar w:fldCharType="begin"/>
      </w:r>
      <w:r>
        <w:instrText>REF _Ref62741029 \n \h</w:instrText>
      </w:r>
      <w:r>
        <w:rPr>
          <w:lang w:val="en-US"/>
        </w:rPr>
      </w:r>
      <w:r>
        <w:fldChar w:fldCharType="separate"/>
      </w:r>
      <w:r>
        <w:t>(5)</w:t>
      </w:r>
      <w:r>
        <w:fldChar w:fldCharType="end"/>
      </w:r>
      <w:r>
        <w:rPr>
          <w:lang w:val="en-US"/>
        </w:rPr>
        <w:t xml:space="preserve"> are repeated with the next peak until all peaks in the spectrum are identified as an element peak, </w:t>
      </w:r>
      <w:r>
        <w:rPr>
          <w:i/>
          <w:lang w:val="en-US"/>
        </w:rPr>
        <w:t>sum/escape peak</w:t>
      </w:r>
      <w:r>
        <w:rPr>
          <w:lang w:val="en-US"/>
        </w:rPr>
        <w:t xml:space="preserve">, or </w:t>
      </w:r>
      <w:r>
        <w:rPr>
          <w:i/>
          <w:lang w:val="en-US"/>
        </w:rPr>
        <w:t>Compton peak</w:t>
      </w:r>
      <w:r>
        <w:rPr>
          <w:lang w:val="en-US"/>
        </w:rPr>
        <w:t xml:space="preserve"> (slightly lower in energy than </w:t>
      </w:r>
      <w:r>
        <w:rPr>
          <w:i/>
          <w:lang w:val="en-US"/>
        </w:rPr>
        <w:t>Rayleigh peaks</w:t>
      </w:r>
      <w:r>
        <w:rPr>
          <w:lang w:val="en-US"/>
        </w:rPr>
        <w:t xml:space="preserve"> due to inelastic scattering events)</w:t>
      </w:r>
      <w:bookmarkEnd w:id="56"/>
    </w:p>
    <w:p w14:paraId="10BC7805" w14:textId="77777777" w:rsidR="002173D0" w:rsidRDefault="00FC104E">
      <w:pPr>
        <w:pStyle w:val="Brdtekst"/>
        <w:rPr>
          <w:lang w:val="en-US"/>
        </w:rPr>
      </w:pPr>
      <w:r>
        <w:rPr>
          <w:lang w:val="en-US"/>
        </w:rPr>
        <w:t xml:space="preserve">If the analysis program offers a peak deconvolution option the total convoluted spectrum should match the measured spectrum without severe differences. If this is not the case check for coincidence peaks of two identified elements or mis- and unidentified elements (cf. </w:t>
      </w:r>
      <w:r>
        <w:rPr>
          <w:lang w:val="en-US"/>
        </w:rPr>
        <w:fldChar w:fldCharType="begin"/>
      </w:r>
      <w:r>
        <w:instrText>REF _Ref60929887 \r \h</w:instrText>
      </w:r>
      <w:r>
        <w:rPr>
          <w:lang w:val="en-US"/>
        </w:rPr>
      </w:r>
      <w:r>
        <w:fldChar w:fldCharType="separate"/>
      </w:r>
      <w:r>
        <w:t>7.2.4</w:t>
      </w:r>
      <w:r>
        <w:fldChar w:fldCharType="end"/>
      </w:r>
      <w:r>
        <w:rPr>
          <w:lang w:val="en-US"/>
        </w:rPr>
        <w:t>).</w:t>
      </w:r>
    </w:p>
    <w:p w14:paraId="36B81312" w14:textId="77777777" w:rsidR="002173D0" w:rsidRDefault="00FC104E">
      <w:pPr>
        <w:pStyle w:val="Overskrift3"/>
        <w:numPr>
          <w:ilvl w:val="2"/>
          <w:numId w:val="2"/>
        </w:numPr>
      </w:pPr>
      <w:bookmarkStart w:id="61" w:name="_Toc67474335"/>
      <w:bookmarkStart w:id="62" w:name="_Toc62738758"/>
      <w:bookmarkStart w:id="63" w:name="_Ref60929887"/>
      <w:bookmarkStart w:id="64" w:name="_Toc115987982"/>
      <w:r>
        <w:t>Escape and Sum/Coincidence Peaks</w:t>
      </w:r>
      <w:bookmarkEnd w:id="61"/>
      <w:bookmarkEnd w:id="62"/>
      <w:bookmarkEnd w:id="63"/>
      <w:bookmarkEnd w:id="64"/>
    </w:p>
    <w:p w14:paraId="2CEB1E5F" w14:textId="77777777" w:rsidR="002173D0" w:rsidRDefault="00FC104E">
      <w:pPr>
        <w:pStyle w:val="Brdtekst"/>
        <w:rPr>
          <w:lang w:val="en-US"/>
        </w:rPr>
      </w:pPr>
      <w:r>
        <w:rPr>
          <w:lang w:val="en-US"/>
        </w:rPr>
        <w:t xml:space="preserve">X-ray photon interaction with the detector material (mostly silicon) leads to </w:t>
      </w:r>
      <w:r>
        <w:rPr>
          <w:i/>
          <w:lang w:val="en-US"/>
        </w:rPr>
        <w:t>escape peaks</w:t>
      </w:r>
      <w:r>
        <w:rPr>
          <w:lang w:val="en-US"/>
        </w:rPr>
        <w:t xml:space="preserve"> with an energy difference of 1.740 keV from its parent peak. This can lead to a potential element misidentification when the </w:t>
      </w:r>
      <w:r>
        <w:rPr>
          <w:i/>
          <w:lang w:val="en-US"/>
        </w:rPr>
        <w:t>coincidence peak</w:t>
      </w:r>
      <w:r>
        <w:rPr>
          <w:lang w:val="en-US"/>
        </w:rPr>
        <w:t xml:space="preserve"> has the same energy as another element line.</w:t>
      </w:r>
    </w:p>
    <w:p w14:paraId="4217F13A" w14:textId="5020BB57" w:rsidR="002173D0" w:rsidRDefault="00F34BE4" w:rsidP="00A71103">
      <w:pPr>
        <w:pStyle w:val="Brdtekst"/>
        <w:rPr>
          <w:lang w:val="en-US"/>
        </w:rPr>
      </w:pPr>
      <w:r>
        <w:rPr>
          <w:lang w:val="en-US"/>
        </w:rPr>
        <w:t>If t</w:t>
      </w:r>
      <w:r w:rsidR="00FC104E">
        <w:rPr>
          <w:lang w:val="en-US"/>
        </w:rPr>
        <w:t>wo</w:t>
      </w:r>
      <w:r w:rsidR="00A71103">
        <w:rPr>
          <w:lang w:val="en-US"/>
        </w:rPr>
        <w:t xml:space="preserve"> </w:t>
      </w:r>
      <w:r w:rsidR="00FC104E">
        <w:rPr>
          <w:lang w:val="en-US"/>
        </w:rPr>
        <w:t xml:space="preserve">X-ray photons </w:t>
      </w:r>
      <w:r>
        <w:rPr>
          <w:lang w:val="en-US"/>
        </w:rPr>
        <w:t>arrive simultaneously at the detector</w:t>
      </w:r>
      <w:r w:rsidR="00230E58">
        <w:rPr>
          <w:lang w:val="en-US"/>
        </w:rPr>
        <w:t xml:space="preserve"> which</w:t>
      </w:r>
      <w:r w:rsidR="00FC104E">
        <w:rPr>
          <w:lang w:val="en-US"/>
        </w:rPr>
        <w:t xml:space="preserve"> cannot be resolved by the detection electronics</w:t>
      </w:r>
      <w:r>
        <w:rPr>
          <w:lang w:val="en-US"/>
        </w:rPr>
        <w:t xml:space="preserve">, </w:t>
      </w:r>
      <w:r w:rsidR="00FC104E">
        <w:rPr>
          <w:lang w:val="en-US"/>
        </w:rPr>
        <w:t xml:space="preserve">an artificial peak </w:t>
      </w:r>
      <w:r>
        <w:rPr>
          <w:lang w:val="en-US"/>
        </w:rPr>
        <w:t>is created using</w:t>
      </w:r>
      <w:r w:rsidR="00A71103">
        <w:rPr>
          <w:lang w:val="en-US"/>
        </w:rPr>
        <w:t xml:space="preserve"> </w:t>
      </w:r>
      <w:r w:rsidR="00FC104E">
        <w:rPr>
          <w:lang w:val="en-US"/>
        </w:rPr>
        <w:t>the summed energy of the two parent photons (</w:t>
      </w:r>
      <w:r w:rsidR="00FC104E">
        <w:rPr>
          <w:i/>
          <w:lang w:val="en-US"/>
        </w:rPr>
        <w:t>sum peak</w:t>
      </w:r>
      <w:r w:rsidR="00FC104E">
        <w:rPr>
          <w:lang w:val="en-US"/>
        </w:rPr>
        <w:t xml:space="preserve"> or </w:t>
      </w:r>
      <w:r w:rsidR="00FC104E">
        <w:rPr>
          <w:i/>
          <w:lang w:val="en-US"/>
        </w:rPr>
        <w:t>coincidence peak</w:t>
      </w:r>
      <w:r w:rsidR="00FC104E">
        <w:rPr>
          <w:lang w:val="en-US"/>
        </w:rPr>
        <w:t>). Similar to escape peaks this may lead to a wrong element identification. For example, the presence of high Si (E = 1.740 keV) and Ca (E = 3.690 keV) amounts can produce a sum peak, that can be misidentified as Cr (E = 5.412 keV).</w:t>
      </w:r>
    </w:p>
    <w:p w14:paraId="3715C8C4" w14:textId="77777777" w:rsidR="002173D0" w:rsidRDefault="00FC104E">
      <w:pPr>
        <w:pStyle w:val="Brdtekst"/>
        <w:rPr>
          <w:lang w:val="en-US"/>
        </w:rPr>
      </w:pPr>
      <w:r>
        <w:rPr>
          <w:lang w:val="en-US"/>
        </w:rPr>
        <w:t xml:space="preserve">The intensity of </w:t>
      </w:r>
      <w:r>
        <w:rPr>
          <w:i/>
          <w:lang w:val="en-US"/>
        </w:rPr>
        <w:t>coincidence</w:t>
      </w:r>
      <w:r>
        <w:rPr>
          <w:lang w:val="en-US"/>
        </w:rPr>
        <w:t xml:space="preserve"> (and to a smaller extent </w:t>
      </w:r>
      <w:r>
        <w:rPr>
          <w:i/>
          <w:lang w:val="en-US"/>
        </w:rPr>
        <w:t>escape</w:t>
      </w:r>
      <w:r>
        <w:rPr>
          <w:lang w:val="en-US"/>
        </w:rPr>
        <w:t xml:space="preserve">) </w:t>
      </w:r>
      <w:r>
        <w:rPr>
          <w:i/>
          <w:lang w:val="en-US"/>
        </w:rPr>
        <w:t>peaks</w:t>
      </w:r>
      <w:r>
        <w:rPr>
          <w:lang w:val="en-US"/>
        </w:rPr>
        <w:t xml:space="preserve"> is dependent on the deadtime respectively the total input count rate. Therefore, it is possible to suppress (but not avoid) </w:t>
      </w:r>
      <w:r>
        <w:rPr>
          <w:i/>
          <w:lang w:val="en-US"/>
        </w:rPr>
        <w:t>coincidence peaks</w:t>
      </w:r>
      <w:r>
        <w:rPr>
          <w:lang w:val="en-US"/>
        </w:rPr>
        <w:t xml:space="preserve"> by measuring at lower count rate and deadtimes. To discriminate element peaks from </w:t>
      </w:r>
      <w:r>
        <w:rPr>
          <w:i/>
          <w:lang w:val="en-US"/>
        </w:rPr>
        <w:t>coincidence peaks</w:t>
      </w:r>
      <w:r>
        <w:rPr>
          <w:lang w:val="en-US"/>
        </w:rPr>
        <w:t xml:space="preserve"> measurements at different dead times can be considered.</w:t>
      </w:r>
    </w:p>
    <w:p w14:paraId="2171C7DA" w14:textId="77777777" w:rsidR="002173D0" w:rsidRDefault="00FC104E">
      <w:pPr>
        <w:pStyle w:val="Brdtekst"/>
        <w:rPr>
          <w:lang w:val="en-US"/>
        </w:rPr>
      </w:pPr>
      <w:r>
        <w:rPr>
          <w:lang w:val="en-US"/>
        </w:rPr>
        <w:t xml:space="preserve">Modern XRF software packages are able to label and even correct measured spectra for </w:t>
      </w:r>
      <w:r>
        <w:rPr>
          <w:i/>
          <w:lang w:val="en-US"/>
        </w:rPr>
        <w:t>escape and coincidence peaks</w:t>
      </w:r>
      <w:r>
        <w:rPr>
          <w:lang w:val="en-US"/>
        </w:rPr>
        <w:t xml:space="preserve">. Please consult your instruments handbook for these processes. These algorithms are however far from perfect, so the existence of </w:t>
      </w:r>
      <w:r>
        <w:rPr>
          <w:i/>
          <w:lang w:val="en-US"/>
        </w:rPr>
        <w:t>escape and coincidence peaks</w:t>
      </w:r>
      <w:r>
        <w:rPr>
          <w:lang w:val="en-US"/>
        </w:rPr>
        <w:t xml:space="preserve"> is to be expected and considered in every measurement.</w:t>
      </w:r>
    </w:p>
    <w:p w14:paraId="0B621307" w14:textId="72109A25" w:rsidR="00A71103" w:rsidRDefault="00FC104E" w:rsidP="00A71103">
      <w:pPr>
        <w:pStyle w:val="Overskrift2"/>
        <w:keepLines/>
        <w:numPr>
          <w:ilvl w:val="1"/>
          <w:numId w:val="2"/>
        </w:numPr>
        <w:spacing w:before="0" w:line="276" w:lineRule="auto"/>
        <w:ind w:left="576" w:hanging="576"/>
      </w:pPr>
      <w:bookmarkStart w:id="65" w:name="_Toc67474340"/>
      <w:bookmarkStart w:id="66" w:name="_Toc62738759"/>
      <w:bookmarkStart w:id="67" w:name="_Toc115987983"/>
      <w:r>
        <w:lastRenderedPageBreak/>
        <w:t>Comparative glass analysis</w:t>
      </w:r>
      <w:bookmarkEnd w:id="65"/>
      <w:bookmarkEnd w:id="66"/>
      <w:bookmarkEnd w:id="67"/>
    </w:p>
    <w:p w14:paraId="504DB245" w14:textId="3F5CF60B" w:rsidR="002173D0" w:rsidRDefault="0E499C0C">
      <w:pPr>
        <w:pStyle w:val="Brdtekst"/>
      </w:pPr>
      <w:r>
        <w:t>Comparative analysis is most reliable when performed when data</w:t>
      </w:r>
      <w:r w:rsidR="0021416E">
        <w:t xml:space="preserve"> is</w:t>
      </w:r>
      <w:r>
        <w:t xml:space="preserve"> collected from</w:t>
      </w:r>
      <w:r w:rsidR="0021416E">
        <w:t xml:space="preserve"> </w:t>
      </w:r>
      <w:r>
        <w:t>smooth and horizontally oriented surfaces of particles larger than 1 mm. It can be performed without any further preparation on original anti-float surfaces when there are no coatings present. In each case the accuracy has to be determined by repeated measurements on different points of the sample surface. If there are no flat and horizontally oriented surfaces present on the sample, it should be rotated between the measurements to allow for different inclinations. Questioned and known samples must be prepared in the same manner. For example, if the sample size, thickness and/or shape of the questioned particle are not ideal and do not allow embedding</w:t>
      </w:r>
      <w:r w:rsidR="0021416E">
        <w:t>,</w:t>
      </w:r>
      <w:r>
        <w:t xml:space="preserve"> the known sample should be prepared to </w:t>
      </w:r>
      <w:r w:rsidR="0021416E">
        <w:t>mimic</w:t>
      </w:r>
      <w:r>
        <w:t xml:space="preserve"> the state of the questioned glass by preparing several small, thin and/or irregularly shaped particles </w:t>
      </w:r>
      <w:r w:rsidR="0021416E">
        <w:t xml:space="preserve">which </w:t>
      </w:r>
      <w:r>
        <w:t>can be measured for comparison.</w:t>
      </w:r>
    </w:p>
    <w:p w14:paraId="7E7C53BA" w14:textId="77777777" w:rsidR="00A71103" w:rsidRDefault="00A71103" w:rsidP="00A71103">
      <w:pPr>
        <w:pStyle w:val="Overskrift3"/>
        <w:numPr>
          <w:ilvl w:val="2"/>
          <w:numId w:val="2"/>
        </w:numPr>
      </w:pPr>
      <w:bookmarkStart w:id="68" w:name="_Toc115987984"/>
      <w:r>
        <w:t>Qualitative glass comparison</w:t>
      </w:r>
      <w:bookmarkEnd w:id="68"/>
    </w:p>
    <w:p w14:paraId="512FD802" w14:textId="3B56DC3C" w:rsidR="002173D0" w:rsidRDefault="00FC104E">
      <w:pPr>
        <w:pStyle w:val="Brdtekst"/>
      </w:pPr>
      <w:r>
        <w:t xml:space="preserve">The following procedure for a comparative </w:t>
      </w:r>
      <w:r w:rsidR="00A71103">
        <w:t xml:space="preserve">qualitative </w:t>
      </w:r>
      <w:r>
        <w:t>measurement is recommended:</w:t>
      </w:r>
    </w:p>
    <w:p w14:paraId="29C80C35" w14:textId="77777777" w:rsidR="002173D0" w:rsidRDefault="00FC104E">
      <w:pPr>
        <w:pStyle w:val="Listeavsnitt"/>
        <w:numPr>
          <w:ilvl w:val="0"/>
          <w:numId w:val="4"/>
        </w:numPr>
        <w:ind w:left="851"/>
      </w:pPr>
      <w:r>
        <w:t xml:space="preserve">Collect replicate spectra from known and questioned samples under the conditions mentioned in section </w:t>
      </w:r>
      <w:r>
        <w:fldChar w:fldCharType="begin"/>
      </w:r>
      <w:r>
        <w:instrText>REF _Ref95391059 \r \h</w:instrText>
      </w:r>
      <w:r>
        <w:fldChar w:fldCharType="separate"/>
      </w:r>
      <w:r>
        <w:t>7.2.1</w:t>
      </w:r>
      <w:r>
        <w:fldChar w:fldCharType="end"/>
      </w:r>
      <w:r>
        <w:t>.</w:t>
      </w:r>
    </w:p>
    <w:p w14:paraId="7BFB920F" w14:textId="5D60AD94" w:rsidR="002173D0" w:rsidRDefault="0E499C0C">
      <w:pPr>
        <w:pStyle w:val="Listeavsnitt"/>
        <w:numPr>
          <w:ilvl w:val="0"/>
          <w:numId w:val="4"/>
        </w:numPr>
        <w:ind w:left="851"/>
      </w:pPr>
      <w:r>
        <w:t>If possible, at least six measurements should be made on the known sample and on each questioned glass sample.</w:t>
      </w:r>
    </w:p>
    <w:p w14:paraId="33EC1D40" w14:textId="77777777" w:rsidR="002173D0" w:rsidRDefault="00FC104E">
      <w:pPr>
        <w:pStyle w:val="Listeavsnitt"/>
        <w:numPr>
          <w:ilvl w:val="0"/>
          <w:numId w:val="4"/>
        </w:numPr>
        <w:ind w:left="851"/>
      </w:pPr>
      <w:r>
        <w:t xml:space="preserve">Identify the elements present and check the result by the spectrum deconvolution (cf. section </w:t>
      </w:r>
      <w:r>
        <w:fldChar w:fldCharType="begin"/>
      </w:r>
      <w:r>
        <w:instrText>REF _Ref96340812 \r \h</w:instrText>
      </w:r>
      <w:r>
        <w:fldChar w:fldCharType="separate"/>
      </w:r>
      <w:r>
        <w:t>7.2.3</w:t>
      </w:r>
      <w:r>
        <w:fldChar w:fldCharType="end"/>
      </w:r>
      <w:r>
        <w:t xml:space="preserve">). </w:t>
      </w:r>
    </w:p>
    <w:p w14:paraId="2D446B7D" w14:textId="77777777" w:rsidR="002173D0" w:rsidRDefault="00FC104E">
      <w:pPr>
        <w:pStyle w:val="Listeavsnitt"/>
        <w:numPr>
          <w:ilvl w:val="0"/>
          <w:numId w:val="4"/>
        </w:numPr>
        <w:ind w:left="851"/>
      </w:pPr>
      <w:r>
        <w:t>Compare known and questioned samples by the lists of elements which are identified.</w:t>
      </w:r>
    </w:p>
    <w:p w14:paraId="3C751F4B" w14:textId="4A05E3AD" w:rsidR="00A71103" w:rsidRDefault="00A71103" w:rsidP="00A71103">
      <w:pPr>
        <w:pStyle w:val="Overskrift3"/>
        <w:numPr>
          <w:ilvl w:val="2"/>
          <w:numId w:val="2"/>
        </w:numPr>
      </w:pPr>
      <w:r w:rsidRPr="00A71103">
        <w:t xml:space="preserve"> </w:t>
      </w:r>
      <w:bookmarkStart w:id="69" w:name="_Toc115987985"/>
      <w:r>
        <w:t>Semi-quantitative glass comparison</w:t>
      </w:r>
      <w:bookmarkEnd w:id="69"/>
    </w:p>
    <w:p w14:paraId="34151592" w14:textId="470463CA" w:rsidR="00A71103" w:rsidRDefault="00FC104E">
      <w:r>
        <w:t xml:space="preserve">If the questioned and known sample have the same qualitative elemental composition the following additional steps can be performed based on ASTM E2926-17 </w:t>
      </w:r>
      <w:r>
        <w:fldChar w:fldCharType="begin"/>
      </w:r>
      <w:r>
        <w:instrText>REF ASTME2926 \h</w:instrText>
      </w:r>
      <w:r>
        <w:fldChar w:fldCharType="separate"/>
      </w:r>
      <w:r>
        <w:t>[4]</w:t>
      </w:r>
      <w:r>
        <w:fldChar w:fldCharType="end"/>
      </w:r>
      <w:r>
        <w:t>:</w:t>
      </w:r>
    </w:p>
    <w:p w14:paraId="049F31CB" w14:textId="77777777" w:rsidR="002173D0" w:rsidRDefault="002173D0"/>
    <w:p w14:paraId="3FA01225" w14:textId="77777777" w:rsidR="002173D0" w:rsidRDefault="00FC104E">
      <w:pPr>
        <w:pStyle w:val="Listeavsnitt"/>
        <w:numPr>
          <w:ilvl w:val="0"/>
          <w:numId w:val="4"/>
        </w:numPr>
        <w:ind w:left="851"/>
      </w:pPr>
      <w:r>
        <w:t xml:space="preserve">Determine the background corrected net peak intensities for a set of elements which are chosen for quantitative comparison. The chosen peaks should be free from overlapping and artefacts (cf. section </w:t>
      </w:r>
      <w:r>
        <w:fldChar w:fldCharType="begin"/>
      </w:r>
      <w:r>
        <w:instrText>REF _Ref103063728 \r \h</w:instrText>
      </w:r>
      <w:r>
        <w:fldChar w:fldCharType="separate"/>
      </w:r>
      <w:r>
        <w:t>7.2</w:t>
      </w:r>
      <w:r>
        <w:fldChar w:fldCharType="end"/>
      </w:r>
      <w:r>
        <w:t xml:space="preserve">) and have a signal-to-noise ratio of greater 10:1. This set may include: Ca, Mg, K, </w:t>
      </w:r>
      <w:proofErr w:type="spellStart"/>
      <w:r>
        <w:t>Ti</w:t>
      </w:r>
      <w:proofErr w:type="spellEnd"/>
      <w:r>
        <w:t xml:space="preserve">, Fe, Sr, </w:t>
      </w:r>
      <w:proofErr w:type="spellStart"/>
      <w:r>
        <w:t>Zr</w:t>
      </w:r>
      <w:proofErr w:type="spellEnd"/>
      <w:r>
        <w:br/>
        <w:t>Especially K and Fe provide good discrimination power.</w:t>
      </w:r>
    </w:p>
    <w:p w14:paraId="394A66B5" w14:textId="77777777" w:rsidR="002173D0" w:rsidRDefault="00FC104E">
      <w:pPr>
        <w:pStyle w:val="Listeavsnitt"/>
        <w:numPr>
          <w:ilvl w:val="0"/>
          <w:numId w:val="4"/>
        </w:numPr>
        <w:ind w:left="851"/>
      </w:pPr>
      <w:r>
        <w:t>Calculate intensity ratios of these elements (e.g. Ca/Mg, Ca/</w:t>
      </w:r>
      <w:proofErr w:type="spellStart"/>
      <w:r>
        <w:t>Ti</w:t>
      </w:r>
      <w:proofErr w:type="spellEnd"/>
      <w:r>
        <w:t>, Ca/Fe, Sr/</w:t>
      </w:r>
      <w:proofErr w:type="spellStart"/>
      <w:r>
        <w:t>Zr</w:t>
      </w:r>
      <w:proofErr w:type="spellEnd"/>
      <w:r>
        <w:t>, Fe/</w:t>
      </w:r>
      <w:proofErr w:type="spellStart"/>
      <w:r>
        <w:t>Zr</w:t>
      </w:r>
      <w:proofErr w:type="spellEnd"/>
      <w:r>
        <w:t xml:space="preserve"> or Ca/K for the chosen set)</w:t>
      </w:r>
    </w:p>
    <w:p w14:paraId="7109FAAF" w14:textId="77777777" w:rsidR="002173D0" w:rsidRDefault="00FC104E">
      <w:pPr>
        <w:pStyle w:val="Listeavsnitt"/>
        <w:numPr>
          <w:ilvl w:val="1"/>
          <w:numId w:val="7"/>
        </w:numPr>
        <w:ind w:left="851"/>
      </w:pPr>
      <w:r>
        <w:t xml:space="preserve">Calculate the mean (x̅) and the standard deviation </w:t>
      </w:r>
      <w:r>
        <w:rPr>
          <w:rFonts w:cs="Arial"/>
        </w:rPr>
        <w:t>σ</w:t>
      </w:r>
      <w:r>
        <w:rPr>
          <w:vertAlign w:val="subscript"/>
        </w:rPr>
        <w:t xml:space="preserve">n-1 </w:t>
      </w:r>
      <w:r>
        <w:t xml:space="preserve">of the intensity ratios of the known sample. Calculate match intervals x̅ </w:t>
      </w:r>
      <w:r>
        <w:rPr>
          <w:rFonts w:cs="Arial"/>
        </w:rPr>
        <w:t>±</w:t>
      </w:r>
      <w:r>
        <w:t xml:space="preserve"> 3</w:t>
      </w:r>
      <w:r>
        <w:rPr>
          <w:vertAlign w:val="superscript"/>
        </w:rPr>
        <w:t> </w:t>
      </w:r>
      <w:r>
        <w:rPr>
          <w:rFonts w:cs="Arial"/>
        </w:rPr>
        <w:t>σ</w:t>
      </w:r>
      <w:r>
        <w:rPr>
          <w:vertAlign w:val="subscript"/>
        </w:rPr>
        <w:t>n-1</w:t>
      </w:r>
      <w:r>
        <w:t xml:space="preserve"> for each ratio. Decide whether the mean of the questioned sample (y̅) falls within the match interval. If one or more intensity ratios yield a mismatch the samples can be discriminated.</w:t>
      </w:r>
    </w:p>
    <w:p w14:paraId="53128261" w14:textId="77777777" w:rsidR="002173D0" w:rsidRDefault="002173D0">
      <w:pPr>
        <w:pStyle w:val="Listeavsnitt"/>
        <w:ind w:left="851"/>
      </w:pPr>
    </w:p>
    <w:p w14:paraId="64F38CBC" w14:textId="77777777" w:rsidR="002173D0" w:rsidRDefault="00FC104E">
      <w:r>
        <w:t xml:space="preserve">Besides mean and standard deviation the following two additional statistical approaches can be followed for comparative glass analysis (cf. </w:t>
      </w:r>
      <w:r>
        <w:fldChar w:fldCharType="begin"/>
      </w:r>
      <w:r>
        <w:instrText>REF Trejos2013 \h</w:instrText>
      </w:r>
      <w:r>
        <w:fldChar w:fldCharType="separate"/>
      </w:r>
      <w:r>
        <w:t>[5]</w:t>
      </w:r>
      <w:r>
        <w:fldChar w:fldCharType="end"/>
      </w:r>
      <w:r>
        <w:t>):</w:t>
      </w:r>
    </w:p>
    <w:p w14:paraId="4827176B" w14:textId="7CFC35F2" w:rsidR="002173D0" w:rsidRDefault="00FC104E">
      <w:pPr>
        <w:pStyle w:val="Listeavsnitt"/>
        <w:numPr>
          <w:ilvl w:val="0"/>
          <w:numId w:val="8"/>
        </w:numPr>
      </w:pPr>
      <w:r>
        <w:t xml:space="preserve">Perform a </w:t>
      </w:r>
      <w:r w:rsidR="00707BA4">
        <w:rPr>
          <w:i/>
        </w:rPr>
        <w:t xml:space="preserve">Bonferroni </w:t>
      </w:r>
      <w:r w:rsidR="00707BA4">
        <w:t xml:space="preserve">corrected </w:t>
      </w:r>
      <w:r>
        <w:rPr>
          <w:i/>
        </w:rPr>
        <w:t>Student’s t-test</w:t>
      </w:r>
      <w:r>
        <w:t xml:space="preserve"> between known and questioned sample for each intensity ratio. </w:t>
      </w:r>
      <w:r w:rsidR="00A71103">
        <w:t xml:space="preserve"> </w:t>
      </w:r>
    </w:p>
    <w:p w14:paraId="6087E862" w14:textId="76390171" w:rsidR="00A71103" w:rsidRDefault="00FC104E" w:rsidP="00A71103">
      <w:pPr>
        <w:pStyle w:val="Listeavsnitt"/>
        <w:numPr>
          <w:ilvl w:val="0"/>
          <w:numId w:val="8"/>
        </w:numPr>
      </w:pPr>
      <w:r>
        <w:t xml:space="preserve">Perform a </w:t>
      </w:r>
      <w:r>
        <w:rPr>
          <w:i/>
        </w:rPr>
        <w:t>Hotelling’s T</w:t>
      </w:r>
      <w:r>
        <w:rPr>
          <w:i/>
          <w:vertAlign w:val="superscript"/>
        </w:rPr>
        <w:t>2</w:t>
      </w:r>
      <w:r>
        <w:t xml:space="preserve">-Test on the intensity ratios (for details see </w:t>
      </w:r>
      <w:r>
        <w:rPr>
          <w:rStyle w:val="Literaturverweis"/>
          <w:vertAlign w:val="baseline"/>
        </w:rPr>
        <w:fldChar w:fldCharType="begin"/>
      </w:r>
      <w:r>
        <w:rPr>
          <w:rStyle w:val="Literaturverweis"/>
          <w:vertAlign w:val="baseline"/>
        </w:rPr>
        <w:instrText>REF Curran1997 \h</w:instrText>
      </w:r>
      <w:r>
        <w:rPr>
          <w:rStyle w:val="Literaturverweis"/>
          <w:vertAlign w:val="baseline"/>
        </w:rPr>
      </w:r>
      <w:r>
        <w:rPr>
          <w:rStyle w:val="Literaturverweis"/>
          <w:vertAlign w:val="baseline"/>
        </w:rPr>
        <w:fldChar w:fldCharType="separate"/>
      </w:r>
      <w:r>
        <w:rPr>
          <w:rStyle w:val="Literaturverweis"/>
          <w:vertAlign w:val="baseline"/>
        </w:rPr>
        <w:t>[6]</w:t>
      </w:r>
      <w:r>
        <w:rPr>
          <w:rStyle w:val="Literaturverweis"/>
          <w:vertAlign w:val="baseline"/>
        </w:rPr>
        <w:fldChar w:fldCharType="end"/>
      </w:r>
      <w:r>
        <w:t>)</w:t>
      </w:r>
    </w:p>
    <w:p w14:paraId="06A35EB6" w14:textId="72AE8A35" w:rsidR="002173D0" w:rsidRDefault="00FC104E">
      <w:r>
        <w:t>For the comparative glass analysis and any of these methods it is essential</w:t>
      </w:r>
      <w:r w:rsidR="00A71103">
        <w:t xml:space="preserve"> for each individual laboratory</w:t>
      </w:r>
      <w:r>
        <w:t xml:space="preserve"> to perform a validation procedure on </w:t>
      </w:r>
      <w:r w:rsidR="00A71103">
        <w:t xml:space="preserve">different </w:t>
      </w:r>
      <w:r>
        <w:t>standardized glass samples (e.g. SRM NIST 1831, Schott FGS 1/FGS 2</w:t>
      </w:r>
      <w:r w:rsidR="00A71103">
        <w:t xml:space="preserve"> </w:t>
      </w:r>
      <w:r>
        <w:t>or similar) of known composition for the specific equipment in use under conditions determined by this guideline.</w:t>
      </w:r>
    </w:p>
    <w:p w14:paraId="62486C05" w14:textId="6B3B37F0" w:rsidR="00FA4DC9" w:rsidRDefault="00FA4DC9">
      <w:pPr>
        <w:jc w:val="left"/>
      </w:pPr>
      <w:r>
        <w:br w:type="page"/>
      </w:r>
    </w:p>
    <w:p w14:paraId="071E4E01" w14:textId="77777777" w:rsidR="002173D0" w:rsidRDefault="00FC104E">
      <w:pPr>
        <w:pStyle w:val="Overskrift1"/>
        <w:numPr>
          <w:ilvl w:val="0"/>
          <w:numId w:val="2"/>
        </w:numPr>
      </w:pPr>
      <w:bookmarkStart w:id="70" w:name="_Toc115987986"/>
      <w:r>
        <w:lastRenderedPageBreak/>
        <w:t>References</w:t>
      </w:r>
      <w:bookmarkEnd w:id="70"/>
    </w:p>
    <w:tbl>
      <w:tblPr>
        <w:tblW w:w="9122" w:type="dxa"/>
        <w:tblInd w:w="284" w:type="dxa"/>
        <w:tblLook w:val="04A0" w:firstRow="1" w:lastRow="0" w:firstColumn="1" w:lastColumn="0" w:noHBand="0" w:noVBand="1"/>
      </w:tblPr>
      <w:tblGrid>
        <w:gridCol w:w="613"/>
        <w:gridCol w:w="8509"/>
      </w:tblGrid>
      <w:tr w:rsidR="002173D0" w14:paraId="5EC77907" w14:textId="77777777">
        <w:tc>
          <w:tcPr>
            <w:tcW w:w="613" w:type="dxa"/>
            <w:shd w:val="clear" w:color="auto" w:fill="auto"/>
          </w:tcPr>
          <w:p w14:paraId="32FCBE6E" w14:textId="77777777" w:rsidR="002173D0" w:rsidRDefault="00FC104E">
            <w:pPr>
              <w:pStyle w:val="Listeavsnitt"/>
              <w:ind w:left="0"/>
              <w:jc w:val="right"/>
              <w:rPr>
                <w:rFonts w:eastAsia="BundesSerif Office"/>
                <w:b/>
                <w:szCs w:val="22"/>
                <w:lang w:val="en-US"/>
              </w:rPr>
            </w:pPr>
            <w:bookmarkStart w:id="71" w:name="Hicks2003"/>
            <w:r>
              <w:rPr>
                <w:rFonts w:eastAsia="BundesSerif Office"/>
                <w:b/>
                <w:szCs w:val="22"/>
                <w:lang w:val="en-US"/>
              </w:rPr>
              <w:t>[1]</w:t>
            </w:r>
            <w:bookmarkEnd w:id="71"/>
          </w:p>
        </w:tc>
        <w:tc>
          <w:tcPr>
            <w:tcW w:w="8508" w:type="dxa"/>
            <w:shd w:val="clear" w:color="auto" w:fill="auto"/>
          </w:tcPr>
          <w:p w14:paraId="7047C0D0" w14:textId="77777777" w:rsidR="002173D0" w:rsidRDefault="00FC104E">
            <w:pPr>
              <w:spacing w:after="120"/>
              <w:jc w:val="left"/>
              <w:rPr>
                <w:rFonts w:eastAsia="BundesSerif Office"/>
                <w:szCs w:val="22"/>
                <w:lang w:val="en-US"/>
              </w:rPr>
            </w:pPr>
            <w:r>
              <w:rPr>
                <w:rFonts w:cs="Arial"/>
                <w:b/>
                <w:szCs w:val="24"/>
              </w:rPr>
              <w:t>T. Hicks et al.</w:t>
            </w:r>
            <w:r>
              <w:rPr>
                <w:rFonts w:cs="Arial"/>
                <w:szCs w:val="24"/>
              </w:rPr>
              <w:t xml:space="preserve"> </w:t>
            </w:r>
            <w:r>
              <w:rPr>
                <w:rFonts w:cs="Arial"/>
                <w:i/>
                <w:szCs w:val="24"/>
              </w:rPr>
              <w:t>The Classification and discrimination of glass fragments using non-destructive energy dispersive X-ray µ-fluorescence</w:t>
            </w:r>
            <w:r>
              <w:rPr>
                <w:rFonts w:cs="Arial"/>
                <w:szCs w:val="24"/>
              </w:rPr>
              <w:t xml:space="preserve">, Forensic Sci. Intern. </w:t>
            </w:r>
            <w:r>
              <w:rPr>
                <w:rFonts w:cs="Arial"/>
                <w:b/>
                <w:szCs w:val="24"/>
              </w:rPr>
              <w:t>2003</w:t>
            </w:r>
            <w:r>
              <w:rPr>
                <w:rFonts w:cs="Arial"/>
                <w:szCs w:val="24"/>
              </w:rPr>
              <w:t xml:space="preserve"> (137) 107-118.</w:t>
            </w:r>
          </w:p>
        </w:tc>
      </w:tr>
      <w:tr w:rsidR="002173D0" w14:paraId="7D72DFA4" w14:textId="77777777">
        <w:tc>
          <w:tcPr>
            <w:tcW w:w="613" w:type="dxa"/>
            <w:shd w:val="clear" w:color="auto" w:fill="auto"/>
          </w:tcPr>
          <w:p w14:paraId="4CA53300" w14:textId="77777777" w:rsidR="002173D0" w:rsidRDefault="00FC104E">
            <w:pPr>
              <w:pStyle w:val="Listeavsnitt"/>
              <w:ind w:left="0"/>
              <w:jc w:val="right"/>
              <w:rPr>
                <w:rFonts w:eastAsia="BundesSerif Office"/>
                <w:b/>
                <w:szCs w:val="22"/>
                <w:lang w:val="en-US"/>
              </w:rPr>
            </w:pPr>
            <w:bookmarkStart w:id="72" w:name="Newbury2009"/>
            <w:r>
              <w:rPr>
                <w:rFonts w:eastAsia="BundesSerif Office"/>
                <w:b/>
                <w:szCs w:val="22"/>
                <w:lang w:val="en-US"/>
              </w:rPr>
              <w:t>[2]</w:t>
            </w:r>
            <w:bookmarkEnd w:id="72"/>
          </w:p>
        </w:tc>
        <w:tc>
          <w:tcPr>
            <w:tcW w:w="8508" w:type="dxa"/>
            <w:shd w:val="clear" w:color="auto" w:fill="auto"/>
          </w:tcPr>
          <w:p w14:paraId="5B888770" w14:textId="77777777" w:rsidR="002173D0" w:rsidRDefault="00FC104E">
            <w:pPr>
              <w:pStyle w:val="Listeavsnitt"/>
              <w:ind w:left="0"/>
              <w:rPr>
                <w:rFonts w:eastAsia="BundesSerif Office"/>
                <w:b/>
                <w:i/>
                <w:szCs w:val="22"/>
                <w:highlight w:val="yellow"/>
                <w:lang w:val="en-US"/>
              </w:rPr>
            </w:pPr>
            <w:r>
              <w:rPr>
                <w:rFonts w:eastAsia="BundesSerif Office"/>
                <w:b/>
                <w:szCs w:val="22"/>
                <w:lang w:val="en-US"/>
              </w:rPr>
              <w:t>D. Newbury</w:t>
            </w:r>
            <w:r>
              <w:rPr>
                <w:rFonts w:eastAsia="BundesSerif Office"/>
                <w:i/>
                <w:szCs w:val="22"/>
                <w:lang w:val="en-US"/>
              </w:rPr>
              <w:t xml:space="preserve"> Mistakes encountered during automatic peak identification of minor and trace constituents in electron-excited energy dispersive X-ray microanalysis. </w:t>
            </w:r>
            <w:r>
              <w:rPr>
                <w:rFonts w:eastAsia="BundesSerif Office"/>
                <w:szCs w:val="22"/>
                <w:lang w:val="en-US"/>
              </w:rPr>
              <w:t>Scanning</w:t>
            </w:r>
            <w:r>
              <w:rPr>
                <w:rFonts w:eastAsia="BundesSerif Office"/>
                <w:i/>
                <w:szCs w:val="22"/>
                <w:lang w:val="en-US"/>
              </w:rPr>
              <w:t>.</w:t>
            </w:r>
            <w:r>
              <w:rPr>
                <w:rFonts w:eastAsia="BundesSerif Office"/>
                <w:szCs w:val="22"/>
              </w:rPr>
              <w:t xml:space="preserve"> </w:t>
            </w:r>
            <w:r>
              <w:rPr>
                <w:rFonts w:eastAsia="BundesSerif Office"/>
                <w:b/>
                <w:szCs w:val="22"/>
                <w:lang w:val="en-US"/>
              </w:rPr>
              <w:t>2009</w:t>
            </w:r>
            <w:r>
              <w:rPr>
                <w:rFonts w:eastAsia="BundesSerif Office"/>
                <w:i/>
                <w:szCs w:val="22"/>
                <w:lang w:val="en-US"/>
              </w:rPr>
              <w:t xml:space="preserve"> </w:t>
            </w:r>
            <w:r>
              <w:rPr>
                <w:rFonts w:eastAsia="BundesSerif Office"/>
                <w:szCs w:val="22"/>
                <w:lang w:val="en-US"/>
              </w:rPr>
              <w:t>(31) 91-101</w:t>
            </w:r>
            <w:r>
              <w:rPr>
                <w:rFonts w:eastAsia="BundesSerif Office"/>
                <w:b/>
                <w:i/>
                <w:szCs w:val="22"/>
                <w:lang w:val="en-US"/>
              </w:rPr>
              <w:t>.</w:t>
            </w:r>
          </w:p>
        </w:tc>
      </w:tr>
      <w:tr w:rsidR="002173D0" w14:paraId="047ED917" w14:textId="77777777">
        <w:tc>
          <w:tcPr>
            <w:tcW w:w="613" w:type="dxa"/>
            <w:shd w:val="clear" w:color="auto" w:fill="auto"/>
          </w:tcPr>
          <w:p w14:paraId="344DA621" w14:textId="77777777" w:rsidR="002173D0" w:rsidRDefault="00FC104E">
            <w:pPr>
              <w:pStyle w:val="Listeavsnitt"/>
              <w:ind w:left="0"/>
              <w:jc w:val="right"/>
              <w:rPr>
                <w:rFonts w:eastAsia="BundesSerif Office"/>
                <w:b/>
                <w:szCs w:val="22"/>
                <w:lang w:val="en-US"/>
              </w:rPr>
            </w:pPr>
            <w:bookmarkStart w:id="73" w:name="Ernst2014"/>
            <w:r>
              <w:rPr>
                <w:rFonts w:eastAsia="BundesSerif Office"/>
                <w:b/>
                <w:szCs w:val="22"/>
                <w:lang w:val="en-US"/>
              </w:rPr>
              <w:t>[3]</w:t>
            </w:r>
            <w:bookmarkEnd w:id="73"/>
          </w:p>
        </w:tc>
        <w:tc>
          <w:tcPr>
            <w:tcW w:w="8508" w:type="dxa"/>
            <w:shd w:val="clear" w:color="auto" w:fill="auto"/>
          </w:tcPr>
          <w:p w14:paraId="28360BAE" w14:textId="77777777" w:rsidR="002173D0" w:rsidRDefault="00FC104E">
            <w:pPr>
              <w:pStyle w:val="Listeavsnitt"/>
              <w:ind w:left="0"/>
              <w:rPr>
                <w:rFonts w:eastAsia="BundesSerif Office"/>
                <w:szCs w:val="22"/>
              </w:rPr>
            </w:pPr>
            <w:r>
              <w:rPr>
                <w:rFonts w:eastAsia="BundesSerif Office"/>
                <w:b/>
                <w:szCs w:val="22"/>
                <w:lang w:val="en-US"/>
              </w:rPr>
              <w:t xml:space="preserve">T. Ernst et al. </w:t>
            </w:r>
            <w:r>
              <w:rPr>
                <w:rFonts w:eastAsia="BundesSerif Office"/>
                <w:i/>
                <w:szCs w:val="22"/>
              </w:rPr>
              <w:t xml:space="preserve">Signal-to-noise ratios in forensic glass analysis by micro X-ray fluorescence spectrometry </w:t>
            </w:r>
            <w:r>
              <w:rPr>
                <w:rFonts w:eastAsia="BundesSerif Office"/>
                <w:szCs w:val="22"/>
              </w:rPr>
              <w:t xml:space="preserve">X-Ray </w:t>
            </w:r>
            <w:proofErr w:type="spellStart"/>
            <w:r>
              <w:rPr>
                <w:rFonts w:eastAsia="BundesSerif Office"/>
                <w:szCs w:val="22"/>
              </w:rPr>
              <w:t>Spectrom</w:t>
            </w:r>
            <w:proofErr w:type="spellEnd"/>
            <w:r>
              <w:rPr>
                <w:rFonts w:eastAsia="BundesSerif Office"/>
                <w:szCs w:val="22"/>
              </w:rPr>
              <w:t xml:space="preserve">. </w:t>
            </w:r>
            <w:r>
              <w:rPr>
                <w:rFonts w:eastAsia="BundesSerif Office"/>
                <w:b/>
                <w:szCs w:val="22"/>
              </w:rPr>
              <w:t xml:space="preserve">2014 </w:t>
            </w:r>
            <w:r>
              <w:rPr>
                <w:rFonts w:eastAsia="BundesSerif Office"/>
                <w:szCs w:val="22"/>
              </w:rPr>
              <w:t>(43) 13-21</w:t>
            </w:r>
          </w:p>
        </w:tc>
      </w:tr>
      <w:tr w:rsidR="002173D0" w14:paraId="702A858F" w14:textId="77777777">
        <w:tc>
          <w:tcPr>
            <w:tcW w:w="613" w:type="dxa"/>
            <w:shd w:val="clear" w:color="auto" w:fill="auto"/>
          </w:tcPr>
          <w:p w14:paraId="48D81F23" w14:textId="77777777" w:rsidR="002173D0" w:rsidRDefault="00FC104E">
            <w:pPr>
              <w:pStyle w:val="Listeavsnitt"/>
              <w:ind w:left="0"/>
              <w:jc w:val="right"/>
              <w:rPr>
                <w:rFonts w:eastAsia="BundesSerif Office"/>
                <w:b/>
                <w:szCs w:val="22"/>
                <w:lang w:val="en-US"/>
              </w:rPr>
            </w:pPr>
            <w:bookmarkStart w:id="74" w:name="ASTME2926"/>
            <w:r>
              <w:rPr>
                <w:rFonts w:eastAsia="BundesSerif Office"/>
                <w:b/>
                <w:szCs w:val="22"/>
                <w:lang w:val="en-US"/>
              </w:rPr>
              <w:t>[4]</w:t>
            </w:r>
            <w:bookmarkEnd w:id="74"/>
          </w:p>
        </w:tc>
        <w:tc>
          <w:tcPr>
            <w:tcW w:w="8508" w:type="dxa"/>
            <w:shd w:val="clear" w:color="auto" w:fill="auto"/>
          </w:tcPr>
          <w:p w14:paraId="456177C5" w14:textId="77777777" w:rsidR="002173D0" w:rsidRDefault="00FC104E">
            <w:pPr>
              <w:pStyle w:val="Listeavsnitt"/>
              <w:ind w:left="0"/>
              <w:rPr>
                <w:b/>
              </w:rPr>
            </w:pPr>
            <w:r>
              <w:rPr>
                <w:b/>
              </w:rPr>
              <w:t xml:space="preserve">ASTM E2926-17 </w:t>
            </w:r>
            <w:r>
              <w:rPr>
                <w:i/>
              </w:rPr>
              <w:t xml:space="preserve">Standard Test Method for Forensic Comparison of Glass Using Micro X-ray Fluorescence (µ-XRF) Spectrometry </w:t>
            </w:r>
          </w:p>
        </w:tc>
      </w:tr>
      <w:tr w:rsidR="002173D0" w14:paraId="2E76A1BF" w14:textId="77777777">
        <w:tc>
          <w:tcPr>
            <w:tcW w:w="613" w:type="dxa"/>
            <w:shd w:val="clear" w:color="auto" w:fill="auto"/>
          </w:tcPr>
          <w:p w14:paraId="2C07CDAA" w14:textId="77777777" w:rsidR="002173D0" w:rsidRDefault="00FC104E">
            <w:pPr>
              <w:pStyle w:val="Listeavsnitt"/>
              <w:ind w:left="0"/>
              <w:jc w:val="right"/>
              <w:rPr>
                <w:rFonts w:eastAsia="BundesSerif Office"/>
                <w:b/>
                <w:szCs w:val="22"/>
                <w:lang w:val="en-US"/>
              </w:rPr>
            </w:pPr>
            <w:bookmarkStart w:id="75" w:name="Trejos2013"/>
            <w:r>
              <w:rPr>
                <w:rFonts w:eastAsia="BundesSerif Office"/>
                <w:b/>
                <w:szCs w:val="22"/>
                <w:lang w:val="en-US"/>
              </w:rPr>
              <w:t>[5]</w:t>
            </w:r>
            <w:bookmarkEnd w:id="75"/>
          </w:p>
        </w:tc>
        <w:tc>
          <w:tcPr>
            <w:tcW w:w="8508" w:type="dxa"/>
            <w:shd w:val="clear" w:color="auto" w:fill="auto"/>
          </w:tcPr>
          <w:p w14:paraId="2EC807CA" w14:textId="77777777" w:rsidR="002173D0" w:rsidRDefault="00FC104E">
            <w:pPr>
              <w:pStyle w:val="Listeavsnitt"/>
              <w:ind w:left="0"/>
              <w:rPr>
                <w:rFonts w:eastAsia="BundesSerif Office"/>
                <w:b/>
                <w:szCs w:val="22"/>
                <w:lang w:val="en-US"/>
              </w:rPr>
            </w:pPr>
            <w:proofErr w:type="spellStart"/>
            <w:r>
              <w:rPr>
                <w:b/>
              </w:rPr>
              <w:t>Trejos</w:t>
            </w:r>
            <w:proofErr w:type="spellEnd"/>
            <w:r>
              <w:rPr>
                <w:b/>
              </w:rPr>
              <w:t xml:space="preserve"> et al.</w:t>
            </w:r>
            <w:r>
              <w:rPr>
                <w:i/>
              </w:rPr>
              <w:t xml:space="preserve"> Forensic analysis of glass by m-XRF, SN-ICP-MS, LA-ICP-MS and LA-ICP-OES: evaluation of the performance of different criteria for comparing elemental composition</w:t>
            </w:r>
            <w:r>
              <w:t xml:space="preserve"> J. Anal. At. </w:t>
            </w:r>
            <w:proofErr w:type="spellStart"/>
            <w:r>
              <w:t>Spectrom</w:t>
            </w:r>
            <w:proofErr w:type="spellEnd"/>
            <w:r>
              <w:t xml:space="preserve">., </w:t>
            </w:r>
            <w:r>
              <w:rPr>
                <w:b/>
              </w:rPr>
              <w:t>2013</w:t>
            </w:r>
            <w:r>
              <w:t xml:space="preserve"> (28) 1270–1282</w:t>
            </w:r>
          </w:p>
        </w:tc>
      </w:tr>
      <w:tr w:rsidR="002173D0" w14:paraId="52A68221" w14:textId="77777777">
        <w:tc>
          <w:tcPr>
            <w:tcW w:w="613" w:type="dxa"/>
            <w:shd w:val="clear" w:color="auto" w:fill="auto"/>
          </w:tcPr>
          <w:p w14:paraId="4A6EBBBD" w14:textId="77777777" w:rsidR="002173D0" w:rsidRDefault="00FC104E">
            <w:pPr>
              <w:pStyle w:val="Listeavsnitt"/>
              <w:ind w:left="0"/>
              <w:jc w:val="right"/>
              <w:rPr>
                <w:rFonts w:eastAsia="BundesSerif Office"/>
                <w:b/>
                <w:szCs w:val="22"/>
                <w:lang w:val="en-US"/>
              </w:rPr>
            </w:pPr>
            <w:bookmarkStart w:id="76" w:name="Curran1997"/>
            <w:r>
              <w:rPr>
                <w:rFonts w:eastAsia="BundesSerif Office"/>
                <w:b/>
                <w:szCs w:val="22"/>
                <w:lang w:val="en-US"/>
              </w:rPr>
              <w:t>[6]</w:t>
            </w:r>
            <w:bookmarkEnd w:id="76"/>
          </w:p>
        </w:tc>
        <w:tc>
          <w:tcPr>
            <w:tcW w:w="8508" w:type="dxa"/>
            <w:shd w:val="clear" w:color="auto" w:fill="auto"/>
          </w:tcPr>
          <w:p w14:paraId="43C06B37" w14:textId="77777777" w:rsidR="002173D0" w:rsidRDefault="00FC104E">
            <w:pPr>
              <w:pStyle w:val="Brdtekst"/>
              <w:rPr>
                <w:rFonts w:eastAsia="BundesSerif Office"/>
                <w:szCs w:val="22"/>
              </w:rPr>
            </w:pPr>
            <w:r w:rsidRPr="008070E4">
              <w:rPr>
                <w:b/>
              </w:rPr>
              <w:t>J. M. Curran et al.</w:t>
            </w:r>
            <w:r w:rsidRPr="008070E4">
              <w:t xml:space="preserve"> </w:t>
            </w:r>
            <w:r>
              <w:rPr>
                <w:i/>
              </w:rPr>
              <w:t>The interpretation of elemental composition measurement from forensic glass evidence: Part I</w:t>
            </w:r>
            <w:r>
              <w:t xml:space="preserve"> Science &amp; Justice </w:t>
            </w:r>
            <w:r>
              <w:rPr>
                <w:b/>
              </w:rPr>
              <w:t>1997</w:t>
            </w:r>
            <w:r>
              <w:t xml:space="preserve"> (37) 241-244.</w:t>
            </w:r>
          </w:p>
        </w:tc>
      </w:tr>
    </w:tbl>
    <w:p w14:paraId="4101652C" w14:textId="77777777" w:rsidR="002173D0" w:rsidRDefault="002173D0"/>
    <w:p w14:paraId="4B99056E" w14:textId="77777777" w:rsidR="002173D0" w:rsidRDefault="002173D0">
      <w:pPr>
        <w:rPr>
          <w:rFonts w:cs="Arial"/>
          <w:color w:val="00B0F0"/>
          <w:szCs w:val="22"/>
        </w:rPr>
      </w:pPr>
    </w:p>
    <w:p w14:paraId="7B3AF1FB" w14:textId="77777777" w:rsidR="002173D0" w:rsidRDefault="00FC104E">
      <w:pPr>
        <w:pStyle w:val="Overskrift1"/>
        <w:numPr>
          <w:ilvl w:val="0"/>
          <w:numId w:val="2"/>
        </w:numPr>
      </w:pPr>
      <w:bookmarkStart w:id="77" w:name="_Toc115987987"/>
      <w:r>
        <w:t>Amendments Against Previous Versions</w:t>
      </w:r>
      <w:bookmarkEnd w:id="77"/>
    </w:p>
    <w:sectPr w:rsidR="002173D0" w:rsidSect="001E53F2">
      <w:headerReference w:type="default" r:id="rId13"/>
      <w:footerReference w:type="default" r:id="rId14"/>
      <w:pgSz w:w="11906" w:h="16838"/>
      <w:pgMar w:top="908" w:right="1275" w:bottom="346" w:left="1412" w:header="851" w:footer="289" w:gutter="0"/>
      <w:lnNumType w:countBy="1" w:restart="continuous"/>
      <w:pgNumType w:start="1"/>
      <w:cols w:space="720"/>
      <w:formProt w:val="0"/>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B8EF804" w16cex:dateUtc="2022-05-30T09:10:37.43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3C0D8" w14:textId="77777777" w:rsidR="00075388" w:rsidRDefault="00075388">
      <w:r>
        <w:separator/>
      </w:r>
    </w:p>
  </w:endnote>
  <w:endnote w:type="continuationSeparator" w:id="0">
    <w:p w14:paraId="0F5E4F43" w14:textId="77777777" w:rsidR="00075388" w:rsidRDefault="00075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angal">
    <w:altName w:val="Nirmala UI"/>
    <w:panose1 w:val="00000400000000000000"/>
    <w:charset w:val="00"/>
    <w:family w:val="roman"/>
    <w:pitch w:val="variable"/>
    <w:sig w:usb0="00008003" w:usb1="00000000" w:usb2="00000000" w:usb3="00000000" w:csb0="00000001" w:csb1="00000000"/>
  </w:font>
  <w:font w:name="BundesSerif Office">
    <w:altName w:val="Cambria"/>
    <w:charset w:val="00"/>
    <w:family w:val="roman"/>
    <w:pitch w:val="variable"/>
    <w:sig w:usb0="A00000BF" w:usb1="4000206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1D779" w14:textId="77777777" w:rsidR="002173D0" w:rsidRDefault="002173D0"/>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26"/>
      <w:gridCol w:w="3402"/>
      <w:gridCol w:w="2657"/>
    </w:tblGrid>
    <w:tr w:rsidR="002173D0" w14:paraId="09799A00" w14:textId="77777777">
      <w:tc>
        <w:tcPr>
          <w:tcW w:w="3226" w:type="dxa"/>
          <w:tcBorders>
            <w:top w:val="single" w:sz="4" w:space="0" w:color="000000"/>
            <w:left w:val="single" w:sz="4" w:space="0" w:color="000000"/>
            <w:bottom w:val="single" w:sz="4" w:space="0" w:color="000000"/>
            <w:right w:val="single" w:sz="4" w:space="0" w:color="000000"/>
          </w:tcBorders>
          <w:shd w:val="clear" w:color="auto" w:fill="auto"/>
        </w:tcPr>
        <w:p w14:paraId="3F982728" w14:textId="77777777" w:rsidR="002173D0" w:rsidRDefault="00FC104E">
          <w:pPr>
            <w:pStyle w:val="Bunntekst"/>
            <w:rPr>
              <w:rFonts w:cs="Arial"/>
              <w:sz w:val="16"/>
              <w:lang w:val="fr-FR"/>
            </w:rPr>
          </w:pPr>
          <w:r>
            <w:rPr>
              <w:rFonts w:cs="Arial"/>
              <w:sz w:val="16"/>
              <w:lang w:val="fr-FR"/>
            </w:rPr>
            <w:t xml:space="preserve">Ref code: </w:t>
          </w:r>
          <w:r>
            <w:rPr>
              <w:rFonts w:cs="Arial"/>
              <w:sz w:val="16"/>
              <w:lang w:val="en-GB"/>
            </w:rPr>
            <w:t>QCC-GUIDELINE-</w:t>
          </w:r>
          <w:r>
            <w:rPr>
              <w:rFonts w:cs="Arial"/>
              <w:color w:val="FF0000"/>
              <w:sz w:val="16"/>
              <w:lang w:val="en-GB"/>
            </w:rPr>
            <w:t>xx</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CDD0CB0" w14:textId="77777777" w:rsidR="002173D0" w:rsidRDefault="00FC104E">
          <w:pPr>
            <w:pStyle w:val="Bunntekst"/>
            <w:rPr>
              <w:rFonts w:cs="Arial"/>
              <w:sz w:val="16"/>
              <w:lang w:val="en-GB"/>
            </w:rPr>
          </w:pPr>
          <w:r>
            <w:rPr>
              <w:rFonts w:cs="Arial"/>
              <w:sz w:val="16"/>
              <w:lang w:val="en-GB"/>
            </w:rPr>
            <w:t xml:space="preserve">Issue No. </w:t>
          </w:r>
          <w:r>
            <w:rPr>
              <w:rFonts w:cs="Arial"/>
              <w:color w:val="FF0000"/>
              <w:sz w:val="16"/>
              <w:lang w:val="en-GB"/>
            </w:rPr>
            <w:t>xx</w:t>
          </w:r>
        </w:p>
        <w:p w14:paraId="3CF2D8B6" w14:textId="77777777" w:rsidR="002173D0" w:rsidRDefault="002173D0">
          <w:pPr>
            <w:pStyle w:val="Bunntekst"/>
            <w:rPr>
              <w:rFonts w:cs="Arial"/>
              <w:sz w:val="16"/>
              <w:lang w:val="en-GB"/>
            </w:rPr>
          </w:pPr>
        </w:p>
      </w:tc>
      <w:tc>
        <w:tcPr>
          <w:tcW w:w="2657" w:type="dxa"/>
          <w:tcBorders>
            <w:top w:val="single" w:sz="4" w:space="0" w:color="000000"/>
            <w:left w:val="single" w:sz="4" w:space="0" w:color="000000"/>
            <w:bottom w:val="single" w:sz="4" w:space="0" w:color="000000"/>
            <w:right w:val="single" w:sz="4" w:space="0" w:color="000000"/>
          </w:tcBorders>
          <w:shd w:val="clear" w:color="auto" w:fill="auto"/>
        </w:tcPr>
        <w:p w14:paraId="28E720F5" w14:textId="77777777" w:rsidR="002173D0" w:rsidRDefault="00FC104E">
          <w:pPr>
            <w:pStyle w:val="Bunntekst"/>
            <w:ind w:left="742"/>
            <w:rPr>
              <w:rStyle w:val="Sidetall"/>
              <w:rFonts w:cs="Arial"/>
              <w:b/>
              <w:sz w:val="16"/>
              <w:lang w:val="en-GB"/>
            </w:rPr>
          </w:pPr>
          <w:r>
            <w:rPr>
              <w:rStyle w:val="Sidetall"/>
              <w:rFonts w:cs="Arial"/>
              <w:sz w:val="16"/>
              <w:lang w:val="en-GB"/>
            </w:rPr>
            <w:t xml:space="preserve">Page: </w:t>
          </w:r>
          <w:r>
            <w:rPr>
              <w:rFonts w:cs="Arial"/>
              <w:sz w:val="16"/>
              <w:szCs w:val="16"/>
            </w:rPr>
            <w:fldChar w:fldCharType="begin"/>
          </w:r>
          <w:r>
            <w:rPr>
              <w:rFonts w:cs="Arial"/>
              <w:sz w:val="16"/>
              <w:szCs w:val="16"/>
            </w:rPr>
            <w:instrText>PAGE \* ARABIC</w:instrText>
          </w:r>
          <w:r>
            <w:rPr>
              <w:rFonts w:cs="Arial"/>
              <w:sz w:val="16"/>
              <w:szCs w:val="16"/>
            </w:rPr>
            <w:fldChar w:fldCharType="separate"/>
          </w:r>
          <w:r>
            <w:rPr>
              <w:rFonts w:cs="Arial"/>
              <w:sz w:val="16"/>
              <w:szCs w:val="16"/>
            </w:rPr>
            <w:t>10</w:t>
          </w:r>
          <w:r>
            <w:rPr>
              <w:rFonts w:cs="Arial"/>
              <w:sz w:val="16"/>
              <w:szCs w:val="16"/>
            </w:rPr>
            <w:fldChar w:fldCharType="end"/>
          </w:r>
          <w:r>
            <w:rPr>
              <w:rFonts w:cs="Arial"/>
              <w:sz w:val="16"/>
              <w:szCs w:val="16"/>
              <w:lang w:val="en-GB"/>
            </w:rPr>
            <w:t xml:space="preserve"> / </w:t>
          </w:r>
          <w:r>
            <w:rPr>
              <w:rFonts w:cs="Arial"/>
              <w:sz w:val="16"/>
              <w:szCs w:val="16"/>
            </w:rPr>
            <w:fldChar w:fldCharType="begin"/>
          </w:r>
          <w:r>
            <w:rPr>
              <w:rFonts w:cs="Arial"/>
              <w:sz w:val="16"/>
              <w:szCs w:val="16"/>
            </w:rPr>
            <w:instrText>NUMPAGES \* ARABIC</w:instrText>
          </w:r>
          <w:r>
            <w:rPr>
              <w:rFonts w:cs="Arial"/>
              <w:sz w:val="16"/>
              <w:szCs w:val="16"/>
            </w:rPr>
            <w:fldChar w:fldCharType="separate"/>
          </w:r>
          <w:r>
            <w:rPr>
              <w:rFonts w:cs="Arial"/>
              <w:sz w:val="16"/>
              <w:szCs w:val="16"/>
            </w:rPr>
            <w:t>10</w:t>
          </w:r>
          <w:r>
            <w:rPr>
              <w:rFonts w:cs="Arial"/>
              <w:sz w:val="16"/>
              <w:szCs w:val="16"/>
            </w:rPr>
            <w:fldChar w:fldCharType="end"/>
          </w:r>
        </w:p>
      </w:tc>
    </w:tr>
  </w:tbl>
  <w:p w14:paraId="0FB78278" w14:textId="77777777" w:rsidR="002173D0" w:rsidRDefault="00FC104E">
    <w:pPr>
      <w:pStyle w:val="Bunntekst"/>
      <w:tabs>
        <w:tab w:val="left" w:pos="2355"/>
      </w:tabs>
      <w:rPr>
        <w:lang w:val="de-DE"/>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6BFB9" w14:textId="77777777" w:rsidR="00075388" w:rsidRDefault="00075388">
      <w:r>
        <w:separator/>
      </w:r>
    </w:p>
  </w:footnote>
  <w:footnote w:type="continuationSeparator" w:id="0">
    <w:p w14:paraId="4927C312" w14:textId="77777777" w:rsidR="00075388" w:rsidRDefault="00075388">
      <w:r>
        <w:continuationSeparator/>
      </w:r>
    </w:p>
  </w:footnote>
  <w:footnote w:id="1">
    <w:p w14:paraId="08A4A021" w14:textId="77777777" w:rsidR="002173D0" w:rsidRDefault="00FC104E">
      <w:pPr>
        <w:pStyle w:val="Fotnotetekst"/>
      </w:pPr>
      <w:r>
        <w:rPr>
          <w:rStyle w:val="Caractresdenotedebasdepage"/>
        </w:rPr>
        <w:footnoteRef/>
      </w:r>
      <w:r>
        <w:rPr>
          <w:rStyle w:val="FootnoteCharacters"/>
        </w:rPr>
        <w:tab/>
      </w:r>
      <w:r>
        <w:t xml:space="preserve"> May also be called: </w:t>
      </w:r>
      <w:r>
        <w:rPr>
          <w:i/>
        </w:rPr>
        <w:t>time constant, amplification time, peaking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39945" w14:textId="77777777" w:rsidR="002173D0" w:rsidRDefault="002173D0">
    <w:pPr>
      <w:pStyle w:val="Topptekst"/>
      <w:rPr>
        <w:lang w:val="en-US"/>
      </w:rPr>
    </w:pPr>
  </w:p>
  <w:p w14:paraId="262149CD" w14:textId="77777777" w:rsidR="002173D0" w:rsidRDefault="00FC104E">
    <w:pPr>
      <w:pStyle w:val="Topptekst"/>
      <w:rPr>
        <w:lang w:val="en-US"/>
      </w:rPr>
    </w:pPr>
    <w:r>
      <w:rPr>
        <w:noProof/>
        <w:lang w:val="en-US"/>
      </w:rPr>
      <mc:AlternateContent>
        <mc:Choice Requires="wps">
          <w:drawing>
            <wp:anchor distT="0" distB="0" distL="114300" distR="114300" simplePos="0" relativeHeight="13" behindDoc="1" locked="0" layoutInCell="1" allowOverlap="1" wp14:anchorId="768C4032" wp14:editId="07777777">
              <wp:simplePos x="0" y="0"/>
              <wp:positionH relativeFrom="column">
                <wp:posOffset>-4558030</wp:posOffset>
              </wp:positionH>
              <wp:positionV relativeFrom="paragraph">
                <wp:posOffset>4180205</wp:posOffset>
              </wp:positionV>
              <wp:extent cx="8001635" cy="532765"/>
              <wp:effectExtent l="0" t="0" r="0" b="0"/>
              <wp:wrapNone/>
              <wp:docPr id="3" name="WordArt 1"/>
              <wp:cNvGraphicFramePr/>
              <a:graphic xmlns:a="http://schemas.openxmlformats.org/drawingml/2006/main">
                <a:graphicData uri="http://schemas.microsoft.com/office/word/2010/wordprocessingShape">
                  <wps:wsp>
                    <wps:cNvSpPr/>
                    <wps:spPr>
                      <a:xfrm rot="5400000">
                        <a:off x="0" y="0"/>
                        <a:ext cx="8001000" cy="532080"/>
                      </a:xfrm>
                      <a:prstGeom prst="rect">
                        <a:avLst/>
                      </a:prstGeom>
                      <a:noFill/>
                      <a:ln>
                        <a:noFill/>
                      </a:ln>
                    </wps:spPr>
                    <wps:style>
                      <a:lnRef idx="0">
                        <a:scrgbClr r="0" g="0" b="0"/>
                      </a:lnRef>
                      <a:fillRef idx="0">
                        <a:scrgbClr r="0" g="0" b="0"/>
                      </a:fillRef>
                      <a:effectRef idx="0">
                        <a:scrgbClr r="0" g="0" b="0"/>
                      </a:effectRef>
                      <a:fontRef idx="minor"/>
                    </wps:style>
                    <wps:txbx>
                      <w:txbxContent>
                        <w:p w14:paraId="04100B7C" w14:textId="77777777" w:rsidR="002173D0" w:rsidRPr="008070E4" w:rsidRDefault="00FC104E">
                          <w:pPr>
                            <w:pStyle w:val="Contenudecadre"/>
                            <w:jc w:val="center"/>
                            <w:rPr>
                              <w:color w:val="969696"/>
                              <w:sz w:val="48"/>
                              <w:szCs w:val="48"/>
                              <w14:shadow w14:blurRad="0" w14:dist="53848" w14:dir="2700000" w14:sx="100000" w14:sy="100000" w14:kx="0" w14:ky="0" w14:algn="ctr">
                                <w14:srgbClr w14:val="CBCBCB"/>
                              </w14:shadow>
                              <w14:textOutline w14:w="12700" w14:cap="flat" w14:cmpd="sng" w14:algn="ctr">
                                <w14:solidFill>
                                  <w14:srgbClr w14:val="969696"/>
                                </w14:solidFill>
                                <w14:prstDash w14:val="solid"/>
                                <w14:round/>
                              </w14:textOutline>
                            </w:rPr>
                          </w:pPr>
                          <w:r>
                            <w:rPr>
                              <w:color w:val="969696"/>
                              <w:sz w:val="48"/>
                              <w:szCs w:val="48"/>
                              <w14:shadow w14:blurRad="0" w14:dist="53848" w14:dir="2700000" w14:sx="100000" w14:sy="100000" w14:kx="0" w14:ky="0" w14:algn="ctr">
                                <w14:srgbClr w14:val="CBCBCB"/>
                              </w14:shadow>
                              <w14:textOutline w14:w="12700" w14:cap="flat" w14:cmpd="sng" w14:algn="ctr">
                                <w14:solidFill>
                                  <w14:srgbClr w14:val="969696"/>
                                </w14:solidFill>
                                <w14:prstDash w14:val="solid"/>
                                <w14:round/>
                              </w14:textOutline>
                            </w:rPr>
                            <w:t>APPROVED BY THE BOARD ON 17 07 2018</w:t>
                          </w:r>
                        </w:p>
                      </w:txbxContent>
                    </wps:txbx>
                    <wps:bodyPr numCol="1">
                      <a:prstTxWarp prst="textPlain">
                        <a:avLst/>
                      </a:prstTxWarp>
                      <a:spAutoFit/>
                    </wps:bodyPr>
                  </wps:wsp>
                </a:graphicData>
              </a:graphic>
            </wp:anchor>
          </w:drawing>
        </mc:Choice>
        <mc:Fallback>
          <w:pict>
            <v:rect w14:anchorId="768C4032" id="WordArt 1" o:spid="_x0000_s1026" style="position:absolute;left:0;text-align:left;margin-left:-358.9pt;margin-top:329.15pt;width:630.05pt;height:41.95pt;rotation:90;z-index:-5033164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" filled="f" stroked="f">
              <v:textbox style="mso-fit-shape-to-text:t">
                <w:txbxContent>
                  <w:p w14:paraId="04100B7C" w14:textId="77777777" w:rsidR="002173D0" w:rsidRPr="008070E4" w:rsidRDefault="00FC104E">
                    <w:pPr>
                      <w:pStyle w:val="Contenudecadre"/>
                      <w:jc w:val="center"/>
                      <w:rPr>
                        <w:color w:val="969696"/>
                        <w:sz w:val="48"/>
                        <w:szCs w:val="48"/>
                        <w14:shadow w14:blurRad="0" w14:dist="53848" w14:dir="2700000" w14:sx="100000" w14:sy="100000" w14:kx="0" w14:ky="0" w14:algn="ctr">
                          <w14:srgbClr w14:val="CBCBCB"/>
                        </w14:shadow>
                        <w14:textOutline w14:w="12700" w14:cap="flat" w14:cmpd="sng" w14:algn="ctr">
                          <w14:solidFill>
                            <w14:srgbClr w14:val="969696"/>
                          </w14:solidFill>
                          <w14:prstDash w14:val="solid"/>
                          <w14:round/>
                        </w14:textOutline>
                      </w:rPr>
                    </w:pPr>
                    <w:r>
                      <w:rPr>
                        <w:color w:val="969696"/>
                        <w:sz w:val="48"/>
                        <w:szCs w:val="48"/>
                        <w14:shadow w14:blurRad="0" w14:dist="53848" w14:dir="2700000" w14:sx="100000" w14:sy="100000" w14:kx="0" w14:ky="0" w14:algn="ctr">
                          <w14:srgbClr w14:val="CBCBCB"/>
                        </w14:shadow>
                        <w14:textOutline w14:w="12700" w14:cap="flat" w14:cmpd="sng" w14:algn="ctr">
                          <w14:solidFill>
                            <w14:srgbClr w14:val="969696"/>
                          </w14:solidFill>
                          <w14:prstDash w14:val="solid"/>
                          <w14:round/>
                        </w14:textOutline>
                      </w:rPr>
                      <w:t>APPROVED BY THE BOARD ON 17 07 2018</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C885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6865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3A21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6200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DC14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3C6C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A850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860D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203C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7039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10F0B"/>
    <w:multiLevelType w:val="multilevel"/>
    <w:tmpl w:val="89F88CB4"/>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1" w15:restartNumberingAfterBreak="0">
    <w:nsid w:val="1DC42822"/>
    <w:multiLevelType w:val="multilevel"/>
    <w:tmpl w:val="967A5E8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 w15:restartNumberingAfterBreak="0">
    <w:nsid w:val="253B724A"/>
    <w:multiLevelType w:val="multilevel"/>
    <w:tmpl w:val="B0E85CE6"/>
    <w:lvl w:ilvl="0">
      <w:start w:val="1"/>
      <w:numFmt w:val="lowerRoman"/>
      <w:lvlText w:val="%1."/>
      <w:lvlJc w:val="righ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C033229"/>
    <w:multiLevelType w:val="multilevel"/>
    <w:tmpl w:val="352084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41A03C5"/>
    <w:multiLevelType w:val="multilevel"/>
    <w:tmpl w:val="91528EE4"/>
    <w:lvl w:ilvl="0">
      <w:start w:val="1"/>
      <w:numFmt w:val="bullet"/>
      <w:lvlText w:val=""/>
      <w:lvlJc w:val="left"/>
      <w:pPr>
        <w:ind w:left="1429" w:hanging="360"/>
      </w:pPr>
      <w:rPr>
        <w:rFonts w:ascii="Symbol" w:hAnsi="Symbol" w:cs="Symbol" w:hint="default"/>
      </w:rPr>
    </w:lvl>
    <w:lvl w:ilvl="1">
      <w:start w:val="1"/>
      <w:numFmt w:val="bullet"/>
      <w:lvlText w:val=""/>
      <w:lvlJc w:val="left"/>
      <w:pPr>
        <w:ind w:left="2149" w:hanging="360"/>
      </w:pPr>
      <w:rPr>
        <w:rFonts w:ascii="Symbol" w:hAnsi="Symbol" w:cs="Symbol"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5" w15:restartNumberingAfterBreak="0">
    <w:nsid w:val="4DA20296"/>
    <w:multiLevelType w:val="multilevel"/>
    <w:tmpl w:val="D7580452"/>
    <w:lvl w:ilvl="0">
      <w:start w:val="1"/>
      <w:numFmt w:val="decimal"/>
      <w:pStyle w:val="Overskrift1"/>
      <w:lvlText w:val="%1"/>
      <w:lvlJc w:val="left"/>
      <w:pPr>
        <w:tabs>
          <w:tab w:val="num" w:pos="284"/>
        </w:tabs>
        <w:ind w:left="720" w:hanging="720"/>
      </w:pPr>
    </w:lvl>
    <w:lvl w:ilvl="1">
      <w:start w:val="1"/>
      <w:numFmt w:val="decimal"/>
      <w:pStyle w:val="Overskrift2"/>
      <w:lvlText w:val="%1.%2"/>
      <w:lvlJc w:val="left"/>
      <w:pPr>
        <w:tabs>
          <w:tab w:val="num" w:pos="284"/>
        </w:tabs>
        <w:ind w:left="720" w:hanging="720"/>
      </w:pPr>
    </w:lvl>
    <w:lvl w:ilvl="2">
      <w:start w:val="1"/>
      <w:numFmt w:val="decimal"/>
      <w:pStyle w:val="Overskrift3"/>
      <w:lvlText w:val="%1.%2.%3"/>
      <w:lvlJc w:val="left"/>
      <w:pPr>
        <w:tabs>
          <w:tab w:val="num" w:pos="568"/>
        </w:tabs>
        <w:ind w:left="1004" w:hanging="720"/>
      </w:pPr>
      <w:rPr>
        <w:rFonts w:cs="Times New Roman"/>
        <w:b w:val="0"/>
        <w:bCs w:val="0"/>
        <w:i w:val="0"/>
        <w:iCs w:val="0"/>
        <w:caps w:val="0"/>
        <w:smallCaps w:val="0"/>
        <w:strike w:val="0"/>
        <w:dstrike w:val="0"/>
        <w:vanish w:val="0"/>
        <w:color w:val="000000"/>
        <w:spacing w:val="0"/>
        <w:kern w:val="0"/>
        <w:position w:val="0"/>
        <w:sz w:val="22"/>
        <w:effect w:val="none"/>
        <w:vertAlign w:val="baseline"/>
        <w:em w:val="none"/>
      </w:rPr>
    </w:lvl>
    <w:lvl w:ilvl="3">
      <w:start w:val="1"/>
      <w:numFmt w:val="decimal"/>
      <w:pStyle w:val="Overskrift4"/>
      <w:lvlText w:val="%1.%2.%3.%4"/>
      <w:lvlJc w:val="left"/>
      <w:pPr>
        <w:tabs>
          <w:tab w:val="num" w:pos="284"/>
        </w:tabs>
        <w:ind w:left="720" w:hanging="72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78F22C70"/>
    <w:multiLevelType w:val="multilevel"/>
    <w:tmpl w:val="F50431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7F6E695E"/>
    <w:multiLevelType w:val="multilevel"/>
    <w:tmpl w:val="F41C6A24"/>
    <w:lvl w:ilvl="0">
      <w:start w:val="1"/>
      <w:numFmt w:val="decimal"/>
      <w:lvlText w:val="%1"/>
      <w:lvlJc w:val="left"/>
      <w:pPr>
        <w:tabs>
          <w:tab w:val="num" w:pos="284"/>
        </w:tabs>
        <w:ind w:left="720" w:hanging="720"/>
      </w:pPr>
    </w:lvl>
    <w:lvl w:ilvl="1">
      <w:start w:val="1"/>
      <w:numFmt w:val="decimal"/>
      <w:lvlText w:val="%1.%2"/>
      <w:lvlJc w:val="left"/>
      <w:pPr>
        <w:tabs>
          <w:tab w:val="num" w:pos="284"/>
        </w:tabs>
        <w:ind w:left="720" w:hanging="720"/>
      </w:pPr>
    </w:lvl>
    <w:lvl w:ilvl="2">
      <w:start w:val="1"/>
      <w:numFmt w:val="decimal"/>
      <w:lvlText w:val="%1.%2.%3"/>
      <w:lvlJc w:val="left"/>
      <w:pPr>
        <w:tabs>
          <w:tab w:val="num" w:pos="568"/>
        </w:tabs>
        <w:ind w:left="1004" w:hanging="720"/>
      </w:pPr>
      <w:rPr>
        <w:rFonts w:cs="Times New Roman"/>
        <w:b w:val="0"/>
        <w:bCs w:val="0"/>
        <w:i w:val="0"/>
        <w:iCs w:val="0"/>
        <w:caps w:val="0"/>
        <w:smallCaps w:val="0"/>
        <w:strike w:val="0"/>
        <w:dstrike w:val="0"/>
        <w:vanish w:val="0"/>
        <w:color w:val="000000"/>
        <w:spacing w:val="0"/>
        <w:kern w:val="0"/>
        <w:position w:val="0"/>
        <w:sz w:val="22"/>
        <w:effect w:val="none"/>
        <w:vertAlign w:val="baseline"/>
        <w:em w:val="none"/>
      </w:rPr>
    </w:lvl>
    <w:lvl w:ilvl="3">
      <w:start w:val="1"/>
      <w:numFmt w:val="decimal"/>
      <w:lvlText w:val="%1.%2.%3.%4"/>
      <w:lvlJc w:val="left"/>
      <w:pPr>
        <w:tabs>
          <w:tab w:val="num" w:pos="284"/>
        </w:tabs>
        <w:ind w:left="720" w:hanging="720"/>
      </w:pPr>
    </w:lvl>
    <w:lvl w:ilvl="4">
      <w:start w:val="1"/>
      <w:numFmt w:val="decimal"/>
      <w:lvlText w:val="%1.%2.%3.%4.%5"/>
      <w:lvlJc w:val="left"/>
      <w:pPr>
        <w:tabs>
          <w:tab w:val="num" w:pos="284"/>
        </w:tabs>
        <w:ind w:left="720" w:hanging="720"/>
      </w:pPr>
    </w:lvl>
    <w:lvl w:ilvl="5">
      <w:start w:val="1"/>
      <w:numFmt w:val="decimal"/>
      <w:lvlText w:val="%1.%2.%3.%4.%5.%6"/>
      <w:lvlJc w:val="left"/>
      <w:pPr>
        <w:tabs>
          <w:tab w:val="num" w:pos="284"/>
        </w:tabs>
        <w:ind w:left="720" w:hanging="720"/>
      </w:pPr>
    </w:lvl>
    <w:lvl w:ilvl="6">
      <w:start w:val="1"/>
      <w:numFmt w:val="decimal"/>
      <w:lvlText w:val="%1.%2.%3.%4.%5.%6.%7"/>
      <w:lvlJc w:val="left"/>
      <w:pPr>
        <w:tabs>
          <w:tab w:val="num" w:pos="284"/>
        </w:tabs>
        <w:ind w:left="720" w:hanging="720"/>
      </w:pPr>
    </w:lvl>
    <w:lvl w:ilvl="7">
      <w:start w:val="1"/>
      <w:numFmt w:val="decimal"/>
      <w:lvlText w:val="%1.%2.%3.%4.%5.%6.%7.%8"/>
      <w:lvlJc w:val="left"/>
      <w:pPr>
        <w:tabs>
          <w:tab w:val="num" w:pos="284"/>
        </w:tabs>
        <w:ind w:left="720" w:hanging="720"/>
      </w:pPr>
    </w:lvl>
    <w:lvl w:ilvl="8">
      <w:start w:val="1"/>
      <w:numFmt w:val="decimal"/>
      <w:lvlText w:val="%1.%2.%3.%4.%5.%6.%7.%8.%9"/>
      <w:lvlJc w:val="left"/>
      <w:pPr>
        <w:tabs>
          <w:tab w:val="num" w:pos="284"/>
        </w:tabs>
        <w:ind w:left="720" w:hanging="720"/>
      </w:pPr>
    </w:lvl>
  </w:abstractNum>
  <w:num w:numId="1">
    <w:abstractNumId w:val="15"/>
  </w:num>
  <w:num w:numId="2">
    <w:abstractNumId w:val="17"/>
  </w:num>
  <w:num w:numId="3">
    <w:abstractNumId w:val="12"/>
  </w:num>
  <w:num w:numId="4">
    <w:abstractNumId w:val="11"/>
  </w:num>
  <w:num w:numId="5">
    <w:abstractNumId w:val="16"/>
  </w:num>
  <w:num w:numId="6">
    <w:abstractNumId w:val="10"/>
  </w:num>
  <w:num w:numId="7">
    <w:abstractNumId w:val="14"/>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E499C0C"/>
    <w:rsid w:val="00075388"/>
    <w:rsid w:val="001865C5"/>
    <w:rsid w:val="001E53F2"/>
    <w:rsid w:val="00205AF8"/>
    <w:rsid w:val="0021416E"/>
    <w:rsid w:val="002173D0"/>
    <w:rsid w:val="00230E58"/>
    <w:rsid w:val="00235843"/>
    <w:rsid w:val="003E3DEE"/>
    <w:rsid w:val="00432A9C"/>
    <w:rsid w:val="005377E7"/>
    <w:rsid w:val="00707BA4"/>
    <w:rsid w:val="008070E4"/>
    <w:rsid w:val="00902553"/>
    <w:rsid w:val="009533C3"/>
    <w:rsid w:val="00980788"/>
    <w:rsid w:val="00A71103"/>
    <w:rsid w:val="00B40931"/>
    <w:rsid w:val="00C051D8"/>
    <w:rsid w:val="00E222CD"/>
    <w:rsid w:val="00E236D0"/>
    <w:rsid w:val="00EA4F1D"/>
    <w:rsid w:val="00EE260D"/>
    <w:rsid w:val="00F34BE4"/>
    <w:rsid w:val="00F85C00"/>
    <w:rsid w:val="00FA4DC9"/>
    <w:rsid w:val="00FC104E"/>
    <w:rsid w:val="00FF763D"/>
    <w:rsid w:val="0E499C0C"/>
    <w:rsid w:val="18FDD8E1"/>
    <w:rsid w:val="43B38AD7"/>
    <w:rsid w:val="4886FBFA"/>
    <w:rsid w:val="656A67F5"/>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EFE52"/>
  <w15:docId w15:val="{00E02AFB-394C-429B-BAED-4791FE57D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iPriority="35" w:unhideWhenUsed="1" w:qFormat="1"/>
    <w:lsdException w:name="footnote reference" w:uiPriority="99"/>
    <w:lsdException w:name="annotation reference" w:uiPriority="99"/>
    <w:lsdException w:name="Title" w:uiPriority="10"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5DD9"/>
    <w:pPr>
      <w:jc w:val="both"/>
    </w:pPr>
    <w:rPr>
      <w:rFonts w:ascii="Arial" w:hAnsi="Arial"/>
      <w:sz w:val="22"/>
      <w:lang w:val="en-GB" w:eastAsia="en-US"/>
    </w:rPr>
  </w:style>
  <w:style w:type="paragraph" w:styleId="Overskrift1">
    <w:name w:val="heading 1"/>
    <w:basedOn w:val="Normal"/>
    <w:qFormat/>
    <w:rsid w:val="002717EC"/>
    <w:pPr>
      <w:keepNext/>
      <w:numPr>
        <w:numId w:val="1"/>
      </w:numPr>
      <w:spacing w:before="240" w:after="120"/>
      <w:outlineLvl w:val="0"/>
    </w:pPr>
    <w:rPr>
      <w:b/>
      <w:caps/>
      <w:sz w:val="24"/>
    </w:rPr>
  </w:style>
  <w:style w:type="paragraph" w:styleId="Overskrift2">
    <w:name w:val="heading 2"/>
    <w:basedOn w:val="Normal"/>
    <w:qFormat/>
    <w:rsid w:val="0093001F"/>
    <w:pPr>
      <w:keepNext/>
      <w:numPr>
        <w:ilvl w:val="1"/>
        <w:numId w:val="1"/>
      </w:numPr>
      <w:spacing w:before="120" w:after="120" w:line="360" w:lineRule="exact"/>
      <w:jc w:val="left"/>
      <w:outlineLvl w:val="1"/>
    </w:pPr>
    <w:rPr>
      <w:u w:val="single"/>
      <w:lang w:val="en-US"/>
    </w:rPr>
  </w:style>
  <w:style w:type="paragraph" w:styleId="Overskrift3">
    <w:name w:val="heading 3"/>
    <w:basedOn w:val="Normal"/>
    <w:qFormat/>
    <w:rsid w:val="005806E2"/>
    <w:pPr>
      <w:keepNext/>
      <w:numPr>
        <w:ilvl w:val="2"/>
        <w:numId w:val="1"/>
      </w:numPr>
      <w:tabs>
        <w:tab w:val="left" w:pos="284"/>
      </w:tabs>
      <w:spacing w:before="120" w:after="120"/>
      <w:ind w:left="720" w:firstLine="0"/>
      <w:outlineLvl w:val="2"/>
    </w:pPr>
  </w:style>
  <w:style w:type="paragraph" w:styleId="Overskrift4">
    <w:name w:val="heading 4"/>
    <w:basedOn w:val="Normal"/>
    <w:qFormat/>
    <w:rsid w:val="00C07F33"/>
    <w:pPr>
      <w:keepNext/>
      <w:numPr>
        <w:ilvl w:val="3"/>
        <w:numId w:val="1"/>
      </w:numPr>
      <w:spacing w:beforeAutospacing="1"/>
      <w:outlineLvl w:val="3"/>
    </w:pPr>
    <w:rPr>
      <w:i/>
    </w:rPr>
  </w:style>
  <w:style w:type="paragraph" w:styleId="Overskrift5">
    <w:name w:val="heading 5"/>
    <w:basedOn w:val="Normal"/>
    <w:qFormat/>
    <w:pPr>
      <w:keepNext/>
      <w:spacing w:before="120" w:line="360" w:lineRule="auto"/>
      <w:jc w:val="center"/>
      <w:outlineLvl w:val="4"/>
    </w:pPr>
    <w:rPr>
      <w:b/>
      <w:sz w:val="28"/>
    </w:rPr>
  </w:style>
  <w:style w:type="paragraph" w:styleId="Overskrift6">
    <w:name w:val="heading 6"/>
    <w:basedOn w:val="Normal"/>
    <w:qFormat/>
    <w:pPr>
      <w:keepNext/>
      <w:spacing w:line="360" w:lineRule="auto"/>
      <w:outlineLvl w:val="5"/>
    </w:pPr>
    <w:rPr>
      <w:b/>
      <w:bCs/>
      <w:color w:val="FF0000"/>
    </w:rPr>
  </w:style>
  <w:style w:type="paragraph" w:styleId="Overskrift7">
    <w:name w:val="heading 7"/>
    <w:basedOn w:val="Normal"/>
    <w:qFormat/>
    <w:pPr>
      <w:keepNext/>
      <w:tabs>
        <w:tab w:val="left" w:pos="1701"/>
      </w:tabs>
      <w:outlineLvl w:val="6"/>
    </w:pPr>
    <w:rPr>
      <w:sz w:val="24"/>
    </w:rPr>
  </w:style>
  <w:style w:type="paragraph" w:styleId="Overskrift8">
    <w:name w:val="heading 8"/>
    <w:basedOn w:val="Normal"/>
    <w:qFormat/>
    <w:pPr>
      <w:keepNext/>
      <w:outlineLvl w:val="7"/>
    </w:pPr>
    <w:rPr>
      <w:b/>
      <w:bCs/>
      <w:sz w:val="28"/>
    </w:rPr>
  </w:style>
  <w:style w:type="paragraph" w:styleId="Overskrift9">
    <w:name w:val="heading 9"/>
    <w:basedOn w:val="Normal"/>
    <w:qFormat/>
    <w:pPr>
      <w:keepNext/>
      <w:jc w:val="center"/>
      <w:outlineLvl w:val="8"/>
    </w:pPr>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idetall">
    <w:name w:val="page number"/>
    <w:basedOn w:val="Standardskriftforavsnitt"/>
    <w:qFormat/>
  </w:style>
  <w:style w:type="character" w:customStyle="1" w:styleId="LienInternet">
    <w:name w:val="Lien Internet"/>
    <w:uiPriority w:val="99"/>
    <w:rPr>
      <w:color w:val="0000FF"/>
      <w:u w:val="single"/>
    </w:rPr>
  </w:style>
  <w:style w:type="character" w:styleId="Merknadsreferanse">
    <w:name w:val="annotation reference"/>
    <w:uiPriority w:val="99"/>
    <w:semiHidden/>
    <w:qFormat/>
    <w:rPr>
      <w:sz w:val="16"/>
    </w:rPr>
  </w:style>
  <w:style w:type="character" w:customStyle="1" w:styleId="Ancredenotedebasdepage">
    <w:name w:val="Ancre de note de bas de page"/>
    <w:rPr>
      <w:vertAlign w:val="superscript"/>
    </w:rPr>
  </w:style>
  <w:style w:type="character" w:customStyle="1" w:styleId="FootnoteCharacters">
    <w:name w:val="Footnote Characters"/>
    <w:uiPriority w:val="99"/>
    <w:semiHidden/>
    <w:qFormat/>
    <w:rsid w:val="00363BE4"/>
    <w:rPr>
      <w:vertAlign w:val="superscript"/>
    </w:rPr>
  </w:style>
  <w:style w:type="character" w:customStyle="1" w:styleId="BunntekstTegn">
    <w:name w:val="Bunntekst Tegn"/>
    <w:link w:val="Bunntekst"/>
    <w:uiPriority w:val="99"/>
    <w:qFormat/>
    <w:rsid w:val="00DE32D7"/>
    <w:rPr>
      <w:lang w:eastAsia="en-US"/>
    </w:rPr>
  </w:style>
  <w:style w:type="character" w:customStyle="1" w:styleId="MerknadstekstTegn">
    <w:name w:val="Merknadstekst Tegn"/>
    <w:link w:val="Merknadstekst"/>
    <w:uiPriority w:val="99"/>
    <w:semiHidden/>
    <w:qFormat/>
    <w:rsid w:val="00E36120"/>
    <w:rPr>
      <w:lang w:eastAsia="en-US"/>
    </w:rPr>
  </w:style>
  <w:style w:type="character" w:customStyle="1" w:styleId="KommentaremneTegn">
    <w:name w:val="Kommentaremne Tegn"/>
    <w:link w:val="Kommentaremne"/>
    <w:qFormat/>
    <w:rsid w:val="008A05DF"/>
    <w:rPr>
      <w:b/>
      <w:bCs/>
      <w:lang w:eastAsia="en-US"/>
    </w:rPr>
  </w:style>
  <w:style w:type="character" w:customStyle="1" w:styleId="texhtml">
    <w:name w:val="texhtml"/>
    <w:qFormat/>
    <w:rsid w:val="00EF229F"/>
  </w:style>
  <w:style w:type="character" w:customStyle="1" w:styleId="SluttnotetekstTegn">
    <w:name w:val="Sluttnotetekst Tegn"/>
    <w:basedOn w:val="Standardskriftforavsnitt"/>
    <w:link w:val="Sluttnotetekst"/>
    <w:qFormat/>
    <w:rsid w:val="007A2220"/>
  </w:style>
  <w:style w:type="character" w:customStyle="1" w:styleId="Ancredenotedefin">
    <w:name w:val="Ancre de note de fin"/>
    <w:rPr>
      <w:vertAlign w:val="superscript"/>
    </w:rPr>
  </w:style>
  <w:style w:type="character" w:customStyle="1" w:styleId="EndnoteCharacters">
    <w:name w:val="Endnote Characters"/>
    <w:qFormat/>
    <w:rsid w:val="007A2220"/>
    <w:rPr>
      <w:vertAlign w:val="superscript"/>
    </w:rPr>
  </w:style>
  <w:style w:type="character" w:customStyle="1" w:styleId="TittelTegn">
    <w:name w:val="Tittel Tegn"/>
    <w:link w:val="Tittel"/>
    <w:uiPriority w:val="10"/>
    <w:qFormat/>
    <w:rsid w:val="007C5C58"/>
    <w:rPr>
      <w:rFonts w:ascii="Arial" w:eastAsia="Times New Roman" w:hAnsi="Arial" w:cs="Times New Roman"/>
      <w:b/>
      <w:bCs/>
      <w:kern w:val="2"/>
      <w:sz w:val="32"/>
      <w:szCs w:val="32"/>
      <w:lang w:val="en-GB" w:eastAsia="en-US"/>
    </w:rPr>
  </w:style>
  <w:style w:type="character" w:customStyle="1" w:styleId="FotnotetekstTegn">
    <w:name w:val="Fotnotetekst Tegn"/>
    <w:link w:val="Fotnotetekst"/>
    <w:uiPriority w:val="99"/>
    <w:semiHidden/>
    <w:qFormat/>
    <w:rsid w:val="007C5C58"/>
    <w:rPr>
      <w:rFonts w:ascii="Arial" w:hAnsi="Arial"/>
      <w:sz w:val="22"/>
      <w:lang w:val="en-GB" w:eastAsia="en-US"/>
    </w:rPr>
  </w:style>
  <w:style w:type="character" w:styleId="Sterk">
    <w:name w:val="Strong"/>
    <w:uiPriority w:val="22"/>
    <w:qFormat/>
    <w:rsid w:val="005806E2"/>
    <w:rPr>
      <w:b/>
      <w:bCs/>
    </w:rPr>
  </w:style>
  <w:style w:type="character" w:customStyle="1" w:styleId="Accentuation">
    <w:name w:val="Accentuation"/>
    <w:qFormat/>
    <w:rsid w:val="005806E2"/>
    <w:rPr>
      <w:i/>
      <w:iCs/>
    </w:rPr>
  </w:style>
  <w:style w:type="character" w:customStyle="1" w:styleId="Literaturverweis">
    <w:name w:val="Literaturverweis"/>
    <w:basedOn w:val="Standardskriftforavsnitt"/>
    <w:uiPriority w:val="1"/>
    <w:qFormat/>
    <w:rsid w:val="007F64BD"/>
    <w:rPr>
      <w:vertAlign w:val="superscript"/>
    </w:rPr>
  </w:style>
  <w:style w:type="character" w:customStyle="1" w:styleId="ListLabel1">
    <w:name w:val="ListLabel 1"/>
    <w:qFormat/>
    <w:rPr>
      <w:rFonts w:cs="Times New Roman"/>
      <w:b w:val="0"/>
      <w:bCs w:val="0"/>
      <w:i w:val="0"/>
      <w:iCs w:val="0"/>
      <w:caps w:val="0"/>
      <w:smallCaps w:val="0"/>
      <w:strike w:val="0"/>
      <w:dstrike w:val="0"/>
      <w:vanish w:val="0"/>
      <w:color w:val="000000"/>
      <w:spacing w:val="0"/>
      <w:kern w:val="0"/>
      <w:position w:val="0"/>
      <w:sz w:val="22"/>
      <w:effect w:val="none"/>
      <w:vertAlign w:val="baseline"/>
      <w:em w:val="none"/>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Sautdindex">
    <w:name w:val="Saut d'index"/>
    <w:qFormat/>
  </w:style>
  <w:style w:type="character" w:customStyle="1" w:styleId="Caractresdenotedebasdepage">
    <w:name w:val="Caractères de note de bas de page"/>
    <w:qFormat/>
  </w:style>
  <w:style w:type="character" w:customStyle="1" w:styleId="Caractresdenotedefin">
    <w:name w:val="Caractères de note de fin"/>
    <w:qFormat/>
  </w:style>
  <w:style w:type="paragraph" w:customStyle="1" w:styleId="Titre">
    <w:name w:val="Titre"/>
    <w:basedOn w:val="Normal"/>
    <w:next w:val="Brdtekst"/>
    <w:qFormat/>
    <w:pPr>
      <w:keepNext/>
      <w:spacing w:before="240" w:after="120"/>
    </w:pPr>
    <w:rPr>
      <w:rFonts w:ascii="Liberation Sans" w:eastAsia="Lucida Sans Unicode" w:hAnsi="Liberation Sans" w:cs="Mangal"/>
      <w:sz w:val="28"/>
      <w:szCs w:val="28"/>
    </w:rPr>
  </w:style>
  <w:style w:type="paragraph" w:styleId="Brdtekst">
    <w:name w:val="Body Text"/>
    <w:basedOn w:val="Normal"/>
    <w:link w:val="BrdtekstTegn"/>
    <w:rsid w:val="002064D9"/>
    <w:pPr>
      <w:spacing w:after="120" w:line="264" w:lineRule="auto"/>
    </w:pPr>
  </w:style>
  <w:style w:type="paragraph" w:styleId="Liste">
    <w:name w:val="List"/>
    <w:basedOn w:val="Brdtekst"/>
    <w:rPr>
      <w:rFonts w:cs="Mangal"/>
    </w:rPr>
  </w:style>
  <w:style w:type="paragraph" w:styleId="Bildetekst">
    <w:name w:val="caption"/>
    <w:basedOn w:val="Normal"/>
    <w:uiPriority w:val="35"/>
    <w:unhideWhenUsed/>
    <w:qFormat/>
    <w:rsid w:val="00CB387F"/>
    <w:pPr>
      <w:spacing w:after="200"/>
    </w:pPr>
    <w:rPr>
      <w:rFonts w:eastAsia="BundesSerif Office"/>
      <w:iCs/>
      <w:sz w:val="18"/>
      <w:szCs w:val="18"/>
      <w:lang w:val="de-DE"/>
    </w:rPr>
  </w:style>
  <w:style w:type="paragraph" w:customStyle="1" w:styleId="Index">
    <w:name w:val="Index"/>
    <w:basedOn w:val="Normal"/>
    <w:qFormat/>
    <w:pPr>
      <w:suppressLineNumbers/>
    </w:pPr>
    <w:rPr>
      <w:rFonts w:cs="Mangal"/>
    </w:rPr>
  </w:style>
  <w:style w:type="paragraph" w:styleId="Topptekst">
    <w:name w:val="header"/>
    <w:basedOn w:val="Normal"/>
    <w:pPr>
      <w:tabs>
        <w:tab w:val="center" w:pos="4153"/>
        <w:tab w:val="right" w:pos="8306"/>
      </w:tabs>
    </w:pPr>
  </w:style>
  <w:style w:type="paragraph" w:styleId="Bunntekst">
    <w:name w:val="footer"/>
    <w:basedOn w:val="Normal"/>
    <w:link w:val="BunntekstTegn"/>
    <w:uiPriority w:val="99"/>
    <w:pPr>
      <w:tabs>
        <w:tab w:val="center" w:pos="4153"/>
        <w:tab w:val="right" w:pos="8306"/>
      </w:tabs>
    </w:pPr>
    <w:rPr>
      <w:lang w:val="x-none"/>
    </w:rPr>
  </w:style>
  <w:style w:type="paragraph" w:styleId="Brdtekstinnrykk">
    <w:name w:val="Body Text Indent"/>
    <w:basedOn w:val="Normal"/>
    <w:link w:val="BrdtekstinnrykkTegn"/>
    <w:pPr>
      <w:spacing w:line="360" w:lineRule="exact"/>
      <w:ind w:left="709" w:hanging="709"/>
    </w:pPr>
    <w:rPr>
      <w:lang w:val="en-US"/>
    </w:rPr>
  </w:style>
  <w:style w:type="paragraph" w:styleId="Merknadstekst">
    <w:name w:val="annotation text"/>
    <w:basedOn w:val="Normal"/>
    <w:link w:val="MerknadstekstTegn"/>
    <w:uiPriority w:val="99"/>
    <w:semiHidden/>
    <w:qFormat/>
    <w:rPr>
      <w:lang w:val="x-none"/>
    </w:rPr>
  </w:style>
  <w:style w:type="paragraph" w:styleId="Bobletekst">
    <w:name w:val="Balloon Text"/>
    <w:basedOn w:val="Normal"/>
    <w:semiHidden/>
    <w:qFormat/>
    <w:rsid w:val="000B4A14"/>
    <w:rPr>
      <w:rFonts w:ascii="Tahoma" w:hAnsi="Tahoma" w:cs="Tahoma"/>
      <w:sz w:val="16"/>
      <w:szCs w:val="16"/>
    </w:rPr>
  </w:style>
  <w:style w:type="paragraph" w:styleId="Fotnotetekst">
    <w:name w:val="footnote text"/>
    <w:basedOn w:val="Normal"/>
    <w:link w:val="FotnotetekstTegn"/>
    <w:uiPriority w:val="99"/>
    <w:semiHidden/>
    <w:rsid w:val="00363BE4"/>
  </w:style>
  <w:style w:type="paragraph" w:styleId="Dokumentkart">
    <w:name w:val="Document Map"/>
    <w:basedOn w:val="Normal"/>
    <w:semiHidden/>
    <w:qFormat/>
    <w:rsid w:val="003D529E"/>
    <w:pPr>
      <w:shd w:val="clear" w:color="auto" w:fill="000080"/>
    </w:pPr>
    <w:rPr>
      <w:rFonts w:ascii="Tahoma" w:hAnsi="Tahoma" w:cs="Tahoma"/>
    </w:rPr>
  </w:style>
  <w:style w:type="paragraph" w:styleId="Kommentaremne">
    <w:name w:val="annotation subject"/>
    <w:basedOn w:val="Merknadstekst"/>
    <w:link w:val="KommentaremneTegn"/>
    <w:qFormat/>
    <w:rsid w:val="008A05DF"/>
    <w:rPr>
      <w:b/>
      <w:bCs/>
    </w:rPr>
  </w:style>
  <w:style w:type="paragraph" w:customStyle="1" w:styleId="Default">
    <w:name w:val="Default"/>
    <w:qFormat/>
    <w:rsid w:val="00686A74"/>
    <w:rPr>
      <w:color w:val="000000"/>
      <w:sz w:val="24"/>
      <w:szCs w:val="24"/>
      <w:lang w:val="en-US" w:eastAsia="en-US"/>
    </w:rPr>
  </w:style>
  <w:style w:type="paragraph" w:styleId="Listeavsnitt">
    <w:name w:val="List Paragraph"/>
    <w:basedOn w:val="Normal"/>
    <w:uiPriority w:val="34"/>
    <w:qFormat/>
    <w:rsid w:val="003764AE"/>
    <w:pPr>
      <w:spacing w:after="120" w:line="264" w:lineRule="auto"/>
      <w:ind w:left="709"/>
      <w:contextualSpacing/>
      <w:jc w:val="left"/>
    </w:pPr>
  </w:style>
  <w:style w:type="paragraph" w:styleId="Sluttnotetekst">
    <w:name w:val="endnote text"/>
    <w:basedOn w:val="Normal"/>
    <w:link w:val="SluttnotetekstTegn"/>
    <w:rsid w:val="007A2220"/>
    <w:rPr>
      <w:lang w:val="de-DE" w:eastAsia="de-DE"/>
    </w:rPr>
  </w:style>
  <w:style w:type="paragraph" w:styleId="Tittel">
    <w:name w:val="Title"/>
    <w:basedOn w:val="Normal"/>
    <w:link w:val="TittelTegn"/>
    <w:uiPriority w:val="10"/>
    <w:qFormat/>
    <w:rsid w:val="007C5C58"/>
    <w:pPr>
      <w:spacing w:before="60" w:after="60"/>
      <w:jc w:val="center"/>
      <w:outlineLvl w:val="0"/>
    </w:pPr>
    <w:rPr>
      <w:b/>
      <w:bCs/>
      <w:kern w:val="2"/>
      <w:sz w:val="32"/>
      <w:szCs w:val="32"/>
    </w:rPr>
  </w:style>
  <w:style w:type="paragraph" w:styleId="INNH2">
    <w:name w:val="toc 2"/>
    <w:basedOn w:val="Normal"/>
    <w:autoRedefine/>
    <w:uiPriority w:val="39"/>
    <w:rsid w:val="007C5C58"/>
    <w:pPr>
      <w:ind w:left="220"/>
    </w:pPr>
  </w:style>
  <w:style w:type="paragraph" w:styleId="INNH1">
    <w:name w:val="toc 1"/>
    <w:basedOn w:val="Normal"/>
    <w:autoRedefine/>
    <w:uiPriority w:val="39"/>
    <w:rsid w:val="00043A3C"/>
    <w:pPr>
      <w:tabs>
        <w:tab w:val="left" w:pos="440"/>
        <w:tab w:val="right" w:leader="dot" w:pos="9210"/>
      </w:tabs>
    </w:pPr>
  </w:style>
  <w:style w:type="paragraph" w:styleId="INNH3">
    <w:name w:val="toc 3"/>
    <w:basedOn w:val="Normal"/>
    <w:autoRedefine/>
    <w:uiPriority w:val="39"/>
    <w:rsid w:val="007C5C58"/>
    <w:pPr>
      <w:ind w:left="440"/>
    </w:pPr>
  </w:style>
  <w:style w:type="paragraph" w:customStyle="1" w:styleId="Funote">
    <w:name w:val="Fußnote"/>
    <w:basedOn w:val="Normal"/>
    <w:qFormat/>
    <w:rsid w:val="001452CE"/>
    <w:pPr>
      <w:ind w:left="170" w:hanging="170"/>
      <w:jc w:val="left"/>
    </w:pPr>
    <w:rPr>
      <w:bCs/>
      <w:sz w:val="18"/>
    </w:rPr>
  </w:style>
  <w:style w:type="paragraph" w:styleId="Revisjon">
    <w:name w:val="Revision"/>
    <w:uiPriority w:val="99"/>
    <w:semiHidden/>
    <w:qFormat/>
    <w:rsid w:val="00043A3C"/>
    <w:rPr>
      <w:rFonts w:ascii="Arial" w:hAnsi="Arial"/>
      <w:sz w:val="22"/>
      <w:lang w:val="en-GB" w:eastAsia="en-US"/>
    </w:rPr>
  </w:style>
  <w:style w:type="paragraph" w:styleId="Overskriftforinnholdsfortegnelse">
    <w:name w:val="TOC Heading"/>
    <w:basedOn w:val="Overskrift1"/>
    <w:uiPriority w:val="39"/>
    <w:unhideWhenUsed/>
    <w:qFormat/>
    <w:rsid w:val="00043A3C"/>
    <w:pPr>
      <w:keepLines/>
      <w:numPr>
        <w:numId w:val="0"/>
      </w:numPr>
      <w:spacing w:after="0" w:line="259" w:lineRule="auto"/>
      <w:jc w:val="left"/>
    </w:pPr>
    <w:rPr>
      <w:rFonts w:asciiTheme="majorHAnsi" w:eastAsiaTheme="majorEastAsia" w:hAnsiTheme="majorHAnsi" w:cstheme="majorBidi"/>
      <w:b w:val="0"/>
      <w:color w:val="2F5496" w:themeColor="accent1" w:themeShade="BF"/>
      <w:sz w:val="32"/>
      <w:szCs w:val="32"/>
      <w:lang w:val="de-DE" w:eastAsia="de-DE"/>
    </w:rPr>
  </w:style>
  <w:style w:type="paragraph" w:customStyle="1" w:styleId="Contenudecadre">
    <w:name w:val="Contenu de cadre"/>
    <w:basedOn w:val="Normal"/>
    <w:qFormat/>
  </w:style>
  <w:style w:type="table" w:styleId="Tabellrutenett">
    <w:name w:val="Table Grid"/>
    <w:basedOn w:val="Vanligtabell"/>
    <w:rsid w:val="005C5DD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dtekstTegn">
    <w:name w:val="Brødtekst Tegn"/>
    <w:basedOn w:val="Standardskriftforavsnitt"/>
    <w:link w:val="Brdtekst"/>
    <w:rsid w:val="00A71103"/>
    <w:rPr>
      <w:rFonts w:ascii="Arial" w:hAnsi="Arial"/>
      <w:sz w:val="22"/>
      <w:lang w:val="en-GB" w:eastAsia="en-US"/>
    </w:rPr>
  </w:style>
  <w:style w:type="character" w:customStyle="1" w:styleId="BrdtekstinnrykkTegn">
    <w:name w:val="Brødtekstinnrykk Tegn"/>
    <w:basedOn w:val="Standardskriftforavsnitt"/>
    <w:link w:val="Brdtekstinnrykk"/>
    <w:rsid w:val="00A71103"/>
    <w:rPr>
      <w:rFonts w:ascii="Arial" w:hAnsi="Arial"/>
      <w:sz w:val="22"/>
      <w:lang w:val="en-US" w:eastAsia="en-US"/>
    </w:rPr>
  </w:style>
  <w:style w:type="character" w:styleId="Hyperkobling">
    <w:name w:val="Hyperlink"/>
    <w:basedOn w:val="Standardskriftforavsnitt"/>
    <w:uiPriority w:val="99"/>
    <w:unhideWhenUsed/>
    <w:rsid w:val="008070E4"/>
    <w:rPr>
      <w:color w:val="0563C1" w:themeColor="hyperlink"/>
      <w:u w:val="single"/>
    </w:rPr>
  </w:style>
  <w:style w:type="character" w:styleId="Linjenummer">
    <w:name w:val="line number"/>
    <w:basedOn w:val="Standardskriftforavsnitt"/>
    <w:rsid w:val="001E5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48565c09066d4ca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D2E9658B35CF54F9E7B6EDD381C9AA1" ma:contentTypeVersion="4" ma:contentTypeDescription="Utwórz nowy dokument." ma:contentTypeScope="" ma:versionID="2a3f72bdf0a41a8b92924ecc64e703d7">
  <xsd:schema xmlns:xsd="http://www.w3.org/2001/XMLSchema" xmlns:xs="http://www.w3.org/2001/XMLSchema" xmlns:p="http://schemas.microsoft.com/office/2006/metadata/properties" xmlns:ns2="e1b90613-e996-4082-8397-23fb67a99b3b" targetNamespace="http://schemas.microsoft.com/office/2006/metadata/properties" ma:root="true" ma:fieldsID="04f11e41eea659958aedae03d99f32ff" ns2:_="">
    <xsd:import namespace="e1b90613-e996-4082-8397-23fb67a99b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90613-e996-4082-8397-23fb67a99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FE795-03C3-4BFE-A3D6-8F8E1A15B6DC}">
  <ds:schemaRef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terms/"/>
    <ds:schemaRef ds:uri="http://purl.org/dc/dcmitype/"/>
    <ds:schemaRef ds:uri="http://schemas.microsoft.com/office/2006/metadata/properties"/>
    <ds:schemaRef ds:uri="e1b90613-e996-4082-8397-23fb67a99b3b"/>
    <ds:schemaRef ds:uri="http://purl.org/dc/elements/1.1/"/>
  </ds:schemaRefs>
</ds:datastoreItem>
</file>

<file path=customXml/itemProps2.xml><?xml version="1.0" encoding="utf-8"?>
<ds:datastoreItem xmlns:ds="http://schemas.openxmlformats.org/officeDocument/2006/customXml" ds:itemID="{9AA10647-DCFA-4B8D-A2E4-CB2ACBE1D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90613-e996-4082-8397-23fb67a99b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486EA5-01E4-48BB-9467-4F629A1A4E02}">
  <ds:schemaRefs>
    <ds:schemaRef ds:uri="http://schemas.microsoft.com/sharepoint/v3/contenttype/forms"/>
  </ds:schemaRefs>
</ds:datastoreItem>
</file>

<file path=customXml/itemProps4.xml><?xml version="1.0" encoding="utf-8"?>
<ds:datastoreItem xmlns:ds="http://schemas.openxmlformats.org/officeDocument/2006/customXml" ds:itemID="{4F074E57-B56A-4F16-B84F-00BACE7B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3453</Words>
  <Characters>18305</Characters>
  <Application>Microsoft Office Word</Application>
  <DocSecurity>0</DocSecurity>
  <Lines>152</Lines>
  <Paragraphs>43</Paragraphs>
  <ScaleCrop>false</ScaleCrop>
  <HeadingPairs>
    <vt:vector size="6" baseType="variant">
      <vt:variant>
        <vt:lpstr>Tittel</vt:lpstr>
      </vt:variant>
      <vt:variant>
        <vt:i4>1</vt:i4>
      </vt:variant>
      <vt:variant>
        <vt:lpstr>Titel</vt:lpstr>
      </vt:variant>
      <vt:variant>
        <vt:i4>1</vt:i4>
      </vt:variant>
      <vt:variant>
        <vt:lpstr>Title</vt:lpstr>
      </vt:variant>
      <vt:variant>
        <vt:i4>1</vt:i4>
      </vt:variant>
    </vt:vector>
  </HeadingPairs>
  <TitlesOfParts>
    <vt:vector size="3" baseType="lpstr">
      <vt:lpstr>Normal.</vt:lpstr>
      <vt:lpstr>Normal.</vt:lpstr>
      <vt:lpstr>Normal.</vt:lpstr>
    </vt:vector>
  </TitlesOfParts>
  <Company>Strathclyde Police</Company>
  <LinksUpToDate>false</LinksUpToDate>
  <CharactersWithSpaces>21715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Tom Campbell</dc:creator>
  <dc:description/>
  <cp:lastModifiedBy>Knut Endre Sjåstad</cp:lastModifiedBy>
  <cp:revision>4</cp:revision>
  <cp:lastPrinted>2022-02-21T13:46:00Z</cp:lastPrinted>
  <dcterms:created xsi:type="dcterms:W3CDTF">2022-10-06T20:33:00Z</dcterms:created>
  <dcterms:modified xsi:type="dcterms:W3CDTF">2022-10-19T05:45:00Z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Strathclyde Police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0x0101004D2E9658B35CF54F9E7B6EDD381C9AA1</vt:lpwstr>
  </property>
</Properties>
</file>